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DE1996" w:rsidRPr="000B5B82" w14:paraId="6A68CFCB" w14:textId="77777777" w:rsidTr="006B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87A9C3F" w14:textId="34F4544F" w:rsidR="006B65E1" w:rsidRDefault="006B65E1" w:rsidP="006B65E1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6B65E1">
              <w:rPr>
                <w:rFonts w:ascii="Arial Narrow" w:hAnsi="Arial Narrow"/>
                <w:sz w:val="24"/>
                <w:szCs w:val="24"/>
              </w:rPr>
              <w:t xml:space="preserve">IZVJEŠĆE </w:t>
            </w:r>
            <w:r w:rsidR="006B6B84">
              <w:rPr>
                <w:rFonts w:ascii="Arial Narrow" w:hAnsi="Arial Narrow"/>
                <w:sz w:val="24"/>
                <w:szCs w:val="24"/>
              </w:rPr>
              <w:t>O SAVJETOVANJU S JAVNOŠĆU U POSTUPKU DONOŠENJA</w:t>
            </w:r>
          </w:p>
          <w:p w14:paraId="41FDC657" w14:textId="77777777" w:rsidR="003A146B" w:rsidRPr="003A146B" w:rsidRDefault="003A146B" w:rsidP="003A146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146B">
              <w:rPr>
                <w:rFonts w:ascii="Arial Narrow" w:hAnsi="Arial Narrow"/>
                <w:sz w:val="24"/>
                <w:szCs w:val="24"/>
              </w:rPr>
              <w:t xml:space="preserve">  Odluke o naknadi za razvoj  trgovačkog društva Vodovod Pula d.o.o. </w:t>
            </w:r>
          </w:p>
          <w:p w14:paraId="7E825E4E" w14:textId="3FAECEF9" w:rsidR="00DE1996" w:rsidRPr="000B5B82" w:rsidRDefault="003A146B" w:rsidP="003A146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146B">
              <w:rPr>
                <w:rFonts w:ascii="Arial Narrow" w:hAnsi="Arial Narrow"/>
                <w:sz w:val="24"/>
                <w:szCs w:val="24"/>
              </w:rPr>
              <w:t>OIB: 19798348108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E1996" w:rsidRPr="000B5B82" w14:paraId="630573EF" w14:textId="77777777" w:rsidTr="006B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1F88985" w14:textId="779017D4" w:rsidR="00DE1996" w:rsidRPr="000B5B82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B5B82">
              <w:rPr>
                <w:rFonts w:ascii="Arial Narrow" w:hAnsi="Arial Narrow"/>
                <w:sz w:val="24"/>
                <w:szCs w:val="24"/>
              </w:rPr>
              <w:t xml:space="preserve">Naziv nacrta odluke ili drugog općeg akta </w:t>
            </w:r>
            <w:r w:rsidR="006B65E1">
              <w:rPr>
                <w:rFonts w:ascii="Arial Narrow" w:hAnsi="Arial Narrow"/>
                <w:sz w:val="24"/>
                <w:szCs w:val="24"/>
              </w:rPr>
              <w:t>za koje je provedeno savjetovanje</w:t>
            </w:r>
          </w:p>
        </w:tc>
        <w:tc>
          <w:tcPr>
            <w:tcW w:w="4506" w:type="dxa"/>
          </w:tcPr>
          <w:p w14:paraId="167F09F6" w14:textId="7FC34757" w:rsidR="00DE1996" w:rsidRDefault="00A538C8" w:rsidP="004B33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r w:rsidR="00873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>o naknadi za razvoj</w:t>
            </w:r>
            <w:r w:rsidR="003A1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6A6">
              <w:rPr>
                <w:rFonts w:ascii="Times New Roman" w:hAnsi="Times New Roman" w:cs="Times New Roman"/>
                <w:sz w:val="24"/>
                <w:szCs w:val="24"/>
              </w:rPr>
              <w:t>sustava javne vodoopskrbe</w:t>
            </w:r>
          </w:p>
          <w:p w14:paraId="46C086F0" w14:textId="00210A9F" w:rsidR="00A538C8" w:rsidRPr="00A538C8" w:rsidRDefault="00A538C8" w:rsidP="004B33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6" w:rsidRPr="000B5B82" w14:paraId="2F2CD0BB" w14:textId="77777777" w:rsidTr="006B65E1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633D945A" w14:textId="779E10FB" w:rsidR="00DE1996" w:rsidRPr="00B40A0A" w:rsidRDefault="008C4CCE" w:rsidP="00B40A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0A0A">
              <w:rPr>
                <w:rFonts w:ascii="Arial Narrow" w:hAnsi="Arial Narrow"/>
                <w:sz w:val="24"/>
                <w:szCs w:val="24"/>
              </w:rPr>
              <w:t xml:space="preserve">Naziv </w:t>
            </w:r>
            <w:r w:rsidR="006B65E1">
              <w:rPr>
                <w:rFonts w:ascii="Arial Narrow" w:hAnsi="Arial Narrow"/>
                <w:sz w:val="24"/>
                <w:szCs w:val="24"/>
              </w:rPr>
              <w:t>upravnog tijela nadležnog za izradu nacrta/ provedbu savjetovanja</w:t>
            </w:r>
          </w:p>
        </w:tc>
        <w:tc>
          <w:tcPr>
            <w:tcW w:w="4506" w:type="dxa"/>
            <w:shd w:val="clear" w:color="auto" w:fill="auto"/>
          </w:tcPr>
          <w:p w14:paraId="18E5AF92" w14:textId="487D7F20" w:rsidR="006B65E1" w:rsidRPr="00A538C8" w:rsidRDefault="006B65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>Vodovod</w:t>
            </w:r>
            <w:r w:rsidR="00A538C8"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46B"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  <w:p w14:paraId="0102FBE1" w14:textId="004CB7C0" w:rsidR="002B1E08" w:rsidRDefault="003A1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  <w:r w:rsidR="006B65E1"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Radićeva ulica 9</w:t>
            </w:r>
          </w:p>
          <w:p w14:paraId="4C713C8D" w14:textId="32D3E57E" w:rsidR="00A538C8" w:rsidRPr="00A538C8" w:rsidRDefault="00A538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6" w:rsidRPr="000B5B82" w14:paraId="4CA34D19" w14:textId="77777777" w:rsidTr="006B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5D7248" w14:textId="77777777" w:rsidR="006B65E1" w:rsidRPr="006B65E1" w:rsidRDefault="006B65E1" w:rsidP="006B65E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B65E1">
              <w:rPr>
                <w:rFonts w:ascii="Arial Narrow" w:hAnsi="Arial Narrow"/>
                <w:sz w:val="24"/>
                <w:szCs w:val="24"/>
              </w:rPr>
              <w:t>Obrazloženje razloga i ciljeva koje se željelo</w:t>
            </w:r>
          </w:p>
          <w:p w14:paraId="3EF6200E" w14:textId="77777777" w:rsidR="006B65E1" w:rsidRPr="006B65E1" w:rsidRDefault="006B65E1" w:rsidP="006B65E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B65E1">
              <w:rPr>
                <w:rFonts w:ascii="Arial Narrow" w:hAnsi="Arial Narrow"/>
                <w:sz w:val="24"/>
                <w:szCs w:val="24"/>
              </w:rPr>
              <w:t>postići donošenjem akta uz sažetak ključnih</w:t>
            </w:r>
          </w:p>
          <w:p w14:paraId="6906C95C" w14:textId="03388225" w:rsidR="00DE1996" w:rsidRPr="000B5B82" w:rsidRDefault="006B65E1" w:rsidP="006B65E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B65E1">
              <w:rPr>
                <w:rFonts w:ascii="Arial Narrow" w:hAnsi="Arial Narrow"/>
                <w:sz w:val="24"/>
                <w:szCs w:val="24"/>
              </w:rPr>
              <w:t>pitanja</w:t>
            </w:r>
          </w:p>
        </w:tc>
        <w:tc>
          <w:tcPr>
            <w:tcW w:w="4506" w:type="dxa"/>
          </w:tcPr>
          <w:p w14:paraId="4BC8B479" w14:textId="77777777" w:rsidR="00A538C8" w:rsidRPr="00810636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Stupanjem na snagu Zakona o izmjenama i dopunama Zakona o financiranju vodnog gospodarstvu od 18. srpnja 2019. godine (NN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66/19), donošenje odluke o naknadi za razvoj (u daljnjem tekstu: Odluka) dana je u nadležnost javnih isporučitelja vodnih usluga.</w:t>
            </w:r>
            <w:r w:rsidRPr="00810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DC074D9" w14:textId="77777777" w:rsidR="00A538C8" w:rsidRPr="00810636" w:rsidRDefault="00A538C8" w:rsidP="00A538C8">
            <w:pPr>
              <w:spacing w:after="0" w:line="24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0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B4FA272" w14:textId="1A31F92C" w:rsidR="00A538C8" w:rsidRPr="00810636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Prihodi od naknade za razvoj koriste se za financiranje gradnje komunalnih građevina odnosno za financiranje otplate zajmova i kredita za gradnju komunalnih vodnih građevina u skladu sa financijskim planom javnog isporučitelja vodnih usluga</w:t>
            </w:r>
            <w:r w:rsidR="003A1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 xml:space="preserve"> a koji se donose u skladu sa propisima kojim se uređuju djelatnost vodnih usluga.</w:t>
            </w:r>
          </w:p>
          <w:p w14:paraId="09179B67" w14:textId="77777777" w:rsidR="00A538C8" w:rsidRPr="00810636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1636E" w14:textId="33FB1BFA" w:rsidR="00A538C8" w:rsidRPr="001B3F4E" w:rsidRDefault="003A146B" w:rsidP="001B3F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navedenim z</w:t>
            </w:r>
            <w:r w:rsidR="00A538C8" w:rsidRPr="00810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akonima, izrađen je nacrt Odluke </w:t>
            </w:r>
            <w:r w:rsidR="009917D7" w:rsidRP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naknadi za razvoj </w:t>
            </w:r>
            <w:r w:rsidR="001B3F4E">
              <w:rPr>
                <w:rFonts w:ascii="Times New Roman" w:hAnsi="Times New Roman" w:cs="Times New Roman"/>
                <w:sz w:val="24"/>
                <w:szCs w:val="24"/>
              </w:rPr>
              <w:t>sustava</w:t>
            </w:r>
            <w:r w:rsidR="001B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F4E">
              <w:rPr>
                <w:rFonts w:ascii="Times New Roman" w:hAnsi="Times New Roman" w:cs="Times New Roman"/>
                <w:sz w:val="24"/>
                <w:szCs w:val="24"/>
              </w:rPr>
              <w:t>javne vodoopskrbe</w:t>
            </w:r>
            <w:r w:rsidR="001B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7D7" w:rsidRP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 području sljedećih jedinica lokalne samouprave: Grad Pula, Grad Vodnjan, Općina Barban, Općina Ližnjan, Općina Marčana, Općina Medulin, Općina Svetvinčenat i Općina Fažana, na kojem području se plaća naknada za razvoj sustava javne vodoopskrbe.  Nacrt Odluke o naknadi za razvoj daje se na javno savjetovanje sukladno čl. 38. Uredbe o metodologiji za određivanje cijene vodnih usluga te članku 11. Zakona o pravu na pristup informacijama.</w:t>
            </w:r>
          </w:p>
          <w:p w14:paraId="554068D2" w14:textId="77777777" w:rsidR="00A538C8" w:rsidRPr="00810636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95F582" w14:textId="77777777" w:rsidR="001B3F4E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Cilj donošenja Odluke 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naknadi za ra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zvoj </w:t>
            </w:r>
            <w:r w:rsidR="001B3F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sustava 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javne vodoopskrbe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 izvršenje zakonskih obveza Društva, osiguranje sredstava za financiranje radova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izgradnje mreže sustava vodoopskrbe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 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posebice vezano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sufinanciranje projekata aglomeracije Pula Sjever i Pula Centar. </w:t>
            </w:r>
          </w:p>
          <w:p w14:paraId="6E570A4C" w14:textId="4A8B20EC" w:rsidR="009917D7" w:rsidRDefault="009917D7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projekt poboljšanja sustava </w:t>
            </w:r>
            <w:r w:rsidR="00A538C8"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vodoopskrbe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sustava</w:t>
            </w:r>
            <w:r w:rsidR="00A538C8"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odvodnje i pročišćavanja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otpadnih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voda u aglomeraciji Pula Sjever, u 2023. godini sklopljen je Ugovor o sufinanciranju   kroz</w:t>
            </w:r>
            <w:r w:rsidR="001B3F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Nacionalni plan oporavka i otpornosti 2021-2026. godine </w:t>
            </w:r>
          </w:p>
          <w:p w14:paraId="26D5E5F1" w14:textId="4E715F04" w:rsidR="00A538C8" w:rsidRDefault="009917D7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6E30F70" w14:textId="71A2ADBB" w:rsidR="00A538C8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Korekcija visine naknade za razvoj odnosi se </w:t>
            </w:r>
            <w:r w:rsidR="00991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financiranje 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gradnje komunalnih vodnih građevina. Z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sve kor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isnike vodnih usluga na 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području 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navedenih jedinica lokalne samouprave 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Isporučitelja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sadašnja cijena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naknade za razvoj javne vodoopskrbe 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1,00 kn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/m3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dok 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ova cijena naknade za razvoj</w:t>
            </w:r>
            <w:r w:rsidR="005D2D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javne vodoopskrbe 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iznosila 0,</w:t>
            </w:r>
            <w:r w:rsidR="00E310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Pr="00F857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EUR/m3.</w:t>
            </w:r>
          </w:p>
          <w:p w14:paraId="6F3F0B5D" w14:textId="77777777" w:rsidR="00E3101E" w:rsidRDefault="00E3101E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0559E1" w14:textId="77777777" w:rsidR="00A538C8" w:rsidRPr="00810636" w:rsidRDefault="00A538C8" w:rsidP="00A538C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Zakonske osnove prijedloga: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Zakon o vodnim uslugama (NN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66/19), Zakon o financiranju vodnog gospodarstva (NN 153/09,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636">
              <w:rPr>
                <w:rFonts w:ascii="Times New Roman" w:hAnsi="Times New Roman" w:cs="Times New Roman"/>
                <w:sz w:val="24"/>
                <w:szCs w:val="24"/>
              </w:rPr>
              <w:t>90/11, 56/13, 120/16, 127/17 i 66/19)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Pr="00810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 određivanju cijena u  primjeni je Uredba o metodologiji za određivanje cijene vodnih usluga (NN 70/23)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597DDD65" w14:textId="65656B85" w:rsidR="000B5B82" w:rsidRPr="002C2D2B" w:rsidRDefault="000B5B82" w:rsidP="002C2D2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B6B84" w:rsidRPr="000B5B82" w14:paraId="726913DF" w14:textId="77777777" w:rsidTr="006B6B84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EF42E3" w14:textId="64D51D01" w:rsidR="006B6B84" w:rsidRPr="006B6B84" w:rsidRDefault="006B6B84" w:rsidP="006B65E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B6B84">
              <w:rPr>
                <w:rFonts w:ascii="Arial Narrow" w:hAnsi="Arial Narrow"/>
                <w:sz w:val="24"/>
                <w:szCs w:val="24"/>
              </w:rPr>
              <w:lastRenderedPageBreak/>
              <w:t>Objava dokumenta za savjetovanje</w:t>
            </w:r>
          </w:p>
        </w:tc>
        <w:tc>
          <w:tcPr>
            <w:tcW w:w="4506" w:type="dxa"/>
          </w:tcPr>
          <w:p w14:paraId="158E5160" w14:textId="26A3C51A" w:rsidR="006B6B84" w:rsidRDefault="00000000" w:rsidP="00A538C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E3101E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D62" w:rsidRPr="002E6D62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https://www.vodovod-pula.hr/novosti</w:t>
            </w:r>
          </w:p>
          <w:p w14:paraId="08E5C952" w14:textId="3B661825" w:rsidR="006B6B84" w:rsidRPr="00810636" w:rsidRDefault="006B6B84" w:rsidP="00A538C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AB" w:rsidRPr="000B5B82" w14:paraId="17A571AF" w14:textId="77777777" w:rsidTr="006B6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6B1863" w14:textId="1D472870" w:rsidR="00A624AB" w:rsidRPr="00A624AB" w:rsidRDefault="00A624AB" w:rsidP="00A624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24AB">
              <w:rPr>
                <w:rFonts w:ascii="Arial Narrow" w:hAnsi="Arial Narrow"/>
                <w:sz w:val="24"/>
                <w:szCs w:val="24"/>
              </w:rPr>
              <w:t>Razdoblje provedbe savjetovanja</w:t>
            </w:r>
          </w:p>
        </w:tc>
        <w:tc>
          <w:tcPr>
            <w:tcW w:w="4506" w:type="dxa"/>
          </w:tcPr>
          <w:p w14:paraId="4A938015" w14:textId="309D9BA8" w:rsidR="00A624AB" w:rsidRPr="00810636" w:rsidRDefault="00E3101E" w:rsidP="00E3101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26</w:t>
            </w:r>
            <w:r w:rsidR="00A62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travnja do 2</w:t>
            </w:r>
            <w:r w:rsidR="00A624A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svibnja </w:t>
            </w:r>
            <w:r w:rsidR="00A624AB">
              <w:rPr>
                <w:rFonts w:ascii="Times New Roman" w:hAnsi="Times New Roman" w:cs="Times New Roman"/>
                <w:sz w:val="24"/>
                <w:szCs w:val="24"/>
              </w:rPr>
              <w:t>2024. godine</w:t>
            </w:r>
          </w:p>
        </w:tc>
      </w:tr>
      <w:tr w:rsidR="00DE1996" w:rsidRPr="000B5B82" w14:paraId="2EF912CC" w14:textId="77777777" w:rsidTr="00A624AB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36EAD1" w14:textId="77777777" w:rsidR="006B65E1" w:rsidRPr="006B65E1" w:rsidRDefault="006B65E1" w:rsidP="006B6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B65E1">
              <w:rPr>
                <w:rFonts w:ascii="Arial Narrow" w:hAnsi="Arial Narrow"/>
                <w:sz w:val="24"/>
                <w:szCs w:val="24"/>
              </w:rPr>
              <w:t>Pregled osnovnih pokazatelja uključenosti</w:t>
            </w:r>
          </w:p>
          <w:p w14:paraId="125B9977" w14:textId="56DB59BF" w:rsidR="00DE1996" w:rsidRPr="000B5B82" w:rsidRDefault="006B65E1" w:rsidP="006B6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B65E1">
              <w:rPr>
                <w:rFonts w:ascii="Arial Narrow" w:hAnsi="Arial Narrow"/>
                <w:sz w:val="24"/>
                <w:szCs w:val="24"/>
              </w:rPr>
              <w:t>savjetovanja s javnošću</w:t>
            </w:r>
          </w:p>
        </w:tc>
        <w:tc>
          <w:tcPr>
            <w:tcW w:w="4506" w:type="dxa"/>
          </w:tcPr>
          <w:p w14:paraId="5F1B2220" w14:textId="7D768EFA" w:rsidR="00DE1996" w:rsidRPr="00A538C8" w:rsidRDefault="006B65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>Nije bilo zaprimljenih primjed</w:t>
            </w:r>
            <w:r w:rsidR="009E70EE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 i prijedloga.</w:t>
            </w:r>
          </w:p>
        </w:tc>
      </w:tr>
      <w:tr w:rsidR="00DE1996" w:rsidRPr="000B5B82" w14:paraId="3E9D053D" w14:textId="77777777" w:rsidTr="006B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03710730" w14:textId="0F5F4BD4" w:rsidR="006B65E1" w:rsidRPr="006B65E1" w:rsidRDefault="006B65E1" w:rsidP="006B6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0" w:name="_Hlk161655062"/>
            <w:r w:rsidRPr="006B65E1">
              <w:rPr>
                <w:rFonts w:ascii="Arial Narrow" w:hAnsi="Arial Narrow"/>
                <w:sz w:val="24"/>
                <w:szCs w:val="24"/>
              </w:rPr>
              <w:t>Pregled prihvaćenih i neprihvaćenih mišljenja 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B65E1">
              <w:rPr>
                <w:rFonts w:ascii="Arial Narrow" w:hAnsi="Arial Narrow"/>
                <w:sz w:val="24"/>
                <w:szCs w:val="24"/>
              </w:rPr>
              <w:t>prijedloga s obrazloženjem razloga za</w:t>
            </w:r>
          </w:p>
          <w:p w14:paraId="78C933D4" w14:textId="428B63F1" w:rsidR="00DE1996" w:rsidRDefault="00A538C8" w:rsidP="006B65E1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6B65E1" w:rsidRPr="006B65E1">
              <w:rPr>
                <w:rFonts w:ascii="Arial Narrow" w:hAnsi="Arial Narrow"/>
                <w:sz w:val="24"/>
                <w:szCs w:val="24"/>
              </w:rPr>
              <w:t>eprihvaćanje</w:t>
            </w:r>
          </w:p>
          <w:p w14:paraId="2452E88A" w14:textId="55ECB4B8" w:rsidR="00A538C8" w:rsidRPr="000B5B82" w:rsidRDefault="00A538C8" w:rsidP="006B6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1BAFB41A" w14:textId="6B4DE01F" w:rsidR="00DE1996" w:rsidRPr="00A538C8" w:rsidRDefault="006B65E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Nije ih bilo. </w:t>
            </w:r>
          </w:p>
        </w:tc>
      </w:tr>
      <w:tr w:rsidR="006B6B84" w:rsidRPr="000B5B82" w14:paraId="12A9C68D" w14:textId="77777777" w:rsidTr="006B6B8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155B6881" w14:textId="75C54A41" w:rsidR="006B6B84" w:rsidRPr="006B6B84" w:rsidRDefault="006B6B84" w:rsidP="006B6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B6B84">
              <w:rPr>
                <w:rFonts w:ascii="Arial Narrow" w:hAnsi="Arial Narrow"/>
                <w:sz w:val="24"/>
                <w:szCs w:val="24"/>
              </w:rPr>
              <w:t>Ostali oblici savjetovanja s javnošću</w:t>
            </w:r>
          </w:p>
        </w:tc>
        <w:tc>
          <w:tcPr>
            <w:tcW w:w="4506" w:type="dxa"/>
            <w:shd w:val="clear" w:color="auto" w:fill="auto"/>
          </w:tcPr>
          <w:p w14:paraId="6EC4E59E" w14:textId="01401200" w:rsidR="006B6B84" w:rsidRPr="00A538C8" w:rsidRDefault="006B6B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ih bilo. </w:t>
            </w:r>
          </w:p>
        </w:tc>
      </w:tr>
      <w:bookmarkEnd w:id="0"/>
      <w:tr w:rsidR="00DE1996" w:rsidRPr="000B5B82" w14:paraId="21AFECE3" w14:textId="77777777" w:rsidTr="00A62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AC9B1A" w14:textId="6402AD80" w:rsidR="00DE1996" w:rsidRPr="000B5B82" w:rsidRDefault="00A538C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Mjesto i </w:t>
            </w:r>
            <w:r w:rsidRPr="006B65E1">
              <w:rPr>
                <w:rFonts w:ascii="Arial Narrow" w:hAnsi="Arial Narrow"/>
                <w:sz w:val="24"/>
                <w:szCs w:val="24"/>
              </w:rPr>
              <w:t>datum</w:t>
            </w:r>
          </w:p>
        </w:tc>
        <w:tc>
          <w:tcPr>
            <w:tcW w:w="4506" w:type="dxa"/>
          </w:tcPr>
          <w:p w14:paraId="44C7024C" w14:textId="5C37C7E5" w:rsidR="00DE1996" w:rsidRPr="00A538C8" w:rsidRDefault="00E3101E" w:rsidP="00E3101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  <w:r w:rsidR="00A538C8"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38C8"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r w:rsidR="00A538C8" w:rsidRPr="00A538C8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</w:tbl>
    <w:p w14:paraId="295E2DB0" w14:textId="77777777" w:rsidR="001B7020" w:rsidRDefault="001B7020">
      <w:pPr>
        <w:rPr>
          <w:rFonts w:ascii="Arial Narrow" w:hAnsi="Arial Narrow"/>
          <w:b/>
          <w:sz w:val="24"/>
          <w:szCs w:val="24"/>
        </w:rPr>
      </w:pPr>
    </w:p>
    <w:sectPr w:rsidR="001B702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766BA"/>
    <w:multiLevelType w:val="hybridMultilevel"/>
    <w:tmpl w:val="8D8A87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2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96"/>
    <w:rsid w:val="000334CE"/>
    <w:rsid w:val="00051556"/>
    <w:rsid w:val="00077441"/>
    <w:rsid w:val="000B5B82"/>
    <w:rsid w:val="0010705C"/>
    <w:rsid w:val="001A30B9"/>
    <w:rsid w:val="001B3F4E"/>
    <w:rsid w:val="001B7020"/>
    <w:rsid w:val="001C3F59"/>
    <w:rsid w:val="00224462"/>
    <w:rsid w:val="002B1E08"/>
    <w:rsid w:val="002C2D2B"/>
    <w:rsid w:val="002E6D62"/>
    <w:rsid w:val="00394FEF"/>
    <w:rsid w:val="003A146B"/>
    <w:rsid w:val="00426DDC"/>
    <w:rsid w:val="00495BDB"/>
    <w:rsid w:val="004A2E5E"/>
    <w:rsid w:val="004B33DB"/>
    <w:rsid w:val="004B5761"/>
    <w:rsid w:val="00511AA1"/>
    <w:rsid w:val="0059594D"/>
    <w:rsid w:val="005D2D6D"/>
    <w:rsid w:val="006236BC"/>
    <w:rsid w:val="006B65E1"/>
    <w:rsid w:val="006B6B84"/>
    <w:rsid w:val="006D754F"/>
    <w:rsid w:val="0073241F"/>
    <w:rsid w:val="00756F97"/>
    <w:rsid w:val="00801E66"/>
    <w:rsid w:val="00844E61"/>
    <w:rsid w:val="008736A6"/>
    <w:rsid w:val="00874981"/>
    <w:rsid w:val="0089793C"/>
    <w:rsid w:val="008C4CCE"/>
    <w:rsid w:val="00926FAC"/>
    <w:rsid w:val="009513A6"/>
    <w:rsid w:val="009917D7"/>
    <w:rsid w:val="009E70EE"/>
    <w:rsid w:val="00A0651B"/>
    <w:rsid w:val="00A10E7A"/>
    <w:rsid w:val="00A1402A"/>
    <w:rsid w:val="00A538C8"/>
    <w:rsid w:val="00A60E00"/>
    <w:rsid w:val="00A624AB"/>
    <w:rsid w:val="00AA2431"/>
    <w:rsid w:val="00AF400B"/>
    <w:rsid w:val="00B201CE"/>
    <w:rsid w:val="00B40A0A"/>
    <w:rsid w:val="00B43D40"/>
    <w:rsid w:val="00D04D37"/>
    <w:rsid w:val="00DE1996"/>
    <w:rsid w:val="00E3101E"/>
    <w:rsid w:val="00E84688"/>
    <w:rsid w:val="00EB67E4"/>
    <w:rsid w:val="00F26FC9"/>
    <w:rsid w:val="00F941DC"/>
    <w:rsid w:val="00FC32A1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1F3"/>
  <w15:docId w15:val="{C9A8453E-058C-4F1D-B3FE-80307481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7483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B302A"/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BB30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275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E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dovod.hr/category/servisne-informaci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Rodić</dc:creator>
  <cp:lastModifiedBy>Mirna Čerin</cp:lastModifiedBy>
  <cp:revision>13</cp:revision>
  <cp:lastPrinted>2024-05-27T07:12:00Z</cp:lastPrinted>
  <dcterms:created xsi:type="dcterms:W3CDTF">2024-05-27T07:13:00Z</dcterms:created>
  <dcterms:modified xsi:type="dcterms:W3CDTF">2024-05-27T07:22:00Z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