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0F4F3" w14:textId="147E6C09" w:rsidR="005C0A6B" w:rsidRPr="00190478" w:rsidRDefault="00A02495" w:rsidP="00A02495">
      <w:r>
        <w:rPr>
          <w:noProof/>
          <w:lang w:eastAsia="hr-HR"/>
        </w:rPr>
        <mc:AlternateContent>
          <mc:Choice Requires="wps">
            <w:drawing>
              <wp:anchor distT="4294967292" distB="4294967292" distL="114300" distR="114300" simplePos="0" relativeHeight="251658240" behindDoc="0" locked="0" layoutInCell="0" allowOverlap="1" wp14:anchorId="5B97A647" wp14:editId="74C71506">
                <wp:simplePos x="0" y="0"/>
                <wp:positionH relativeFrom="column">
                  <wp:posOffset>-354330</wp:posOffset>
                </wp:positionH>
                <wp:positionV relativeFrom="paragraph">
                  <wp:posOffset>3174</wp:posOffset>
                </wp:positionV>
                <wp:extent cx="6309360" cy="0"/>
                <wp:effectExtent l="0" t="19050" r="34290" b="19050"/>
                <wp:wrapNone/>
                <wp:docPr id="67087686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360" cy="0"/>
                        </a:xfrm>
                        <a:prstGeom prst="line">
                          <a:avLst/>
                        </a:prstGeom>
                        <a:noFill/>
                        <a:ln w="57150" cmpd="thickThin">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357FB4" id="Line 2" o:spid="_x0000_s1026" style="position:absolute;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7.9pt,.25pt" to="468.9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" o:allowincell="f" strokecolor="blue" strokeweight="4.5pt">
                <v:stroke linestyle="thickThin"/>
              </v:line>
            </w:pict>
          </mc:Fallback>
        </mc:AlternateContent>
      </w:r>
    </w:p>
    <w:p w14:paraId="34C1F78D" w14:textId="77777777" w:rsidR="005C0A6B" w:rsidRPr="005F19FA" w:rsidRDefault="005C0A6B" w:rsidP="00A02495">
      <w:pPr>
        <w:pStyle w:val="Zaglavlje"/>
      </w:pPr>
    </w:p>
    <w:p w14:paraId="1042BE02" w14:textId="77777777" w:rsidR="007A685F" w:rsidRPr="005F19FA" w:rsidRDefault="007A685F" w:rsidP="00A02495"/>
    <w:p w14:paraId="6B8007C6" w14:textId="77777777" w:rsidR="000A6036" w:rsidRPr="005F19FA" w:rsidRDefault="000A6036" w:rsidP="00A02495">
      <w:pPr>
        <w:pStyle w:val="Zaglavlje"/>
      </w:pPr>
    </w:p>
    <w:p w14:paraId="29B727D9" w14:textId="77777777" w:rsidR="007A685F" w:rsidRPr="005F19FA" w:rsidRDefault="007A685F" w:rsidP="00A02495"/>
    <w:p w14:paraId="72807F7A" w14:textId="77777777" w:rsidR="007A685F" w:rsidRPr="005F19FA" w:rsidRDefault="007A685F" w:rsidP="00A02495"/>
    <w:p w14:paraId="20505FF1" w14:textId="77777777" w:rsidR="000007C5" w:rsidRPr="005F19FA" w:rsidRDefault="000007C5" w:rsidP="00A02495"/>
    <w:p w14:paraId="467D7020" w14:textId="77777777" w:rsidR="005C0A6B" w:rsidRPr="005F19FA" w:rsidRDefault="005C0A6B" w:rsidP="00A02495"/>
    <w:p w14:paraId="554351B7" w14:textId="77777777" w:rsidR="00DC26EF" w:rsidRPr="005F19FA" w:rsidRDefault="00DC26EF" w:rsidP="00A02495"/>
    <w:p w14:paraId="12A2CE5F" w14:textId="77777777" w:rsidR="00DC26EF" w:rsidRPr="005F19FA" w:rsidRDefault="00DC26EF" w:rsidP="00A02495"/>
    <w:p w14:paraId="0AD3D3C7" w14:textId="77777777" w:rsidR="00020BB7" w:rsidRPr="005F19FA" w:rsidRDefault="00020BB7" w:rsidP="00A02495"/>
    <w:p w14:paraId="7B7034C8" w14:textId="77777777" w:rsidR="00020BB7" w:rsidRPr="005F19FA" w:rsidRDefault="00020BB7" w:rsidP="00A02495"/>
    <w:p w14:paraId="1AA5E567" w14:textId="77777777" w:rsidR="00020BB7" w:rsidRPr="005F19FA" w:rsidRDefault="00020BB7" w:rsidP="00A02495"/>
    <w:p w14:paraId="695E66EC" w14:textId="77777777" w:rsidR="004D2A2E" w:rsidRDefault="004D2A2E" w:rsidP="004D2A2E">
      <w:pPr>
        <w:pStyle w:val="Naslov"/>
        <w:pBdr>
          <w:bottom w:val="none" w:sz="0" w:space="0" w:color="auto"/>
        </w:pBdr>
        <w:jc w:val="right"/>
        <w:rPr>
          <w:color w:val="262626"/>
          <w:sz w:val="72"/>
          <w:lang w:val="hr-HR"/>
        </w:rPr>
      </w:pPr>
      <w:r>
        <w:rPr>
          <w:color w:val="262626"/>
          <w:sz w:val="72"/>
          <w:lang w:val="hr-HR"/>
        </w:rPr>
        <w:t>Izvještaj o poslovanju</w:t>
      </w:r>
    </w:p>
    <w:p w14:paraId="659F6903" w14:textId="02BAE34C" w:rsidR="004D2A2E" w:rsidRPr="000007C5" w:rsidRDefault="001958AD" w:rsidP="004D2A2E">
      <w:pPr>
        <w:pStyle w:val="Naslov"/>
        <w:pBdr>
          <w:bottom w:val="single" w:sz="8" w:space="4" w:color="000080"/>
        </w:pBdr>
        <w:spacing w:line="360" w:lineRule="auto"/>
        <w:jc w:val="right"/>
        <w:rPr>
          <w:lang w:val="hr-HR"/>
        </w:rPr>
      </w:pPr>
      <w:r>
        <w:rPr>
          <w:color w:val="404040"/>
          <w:lang w:val="hr-HR"/>
        </w:rPr>
        <w:t>202</w:t>
      </w:r>
      <w:r w:rsidR="009013E3">
        <w:rPr>
          <w:color w:val="404040"/>
          <w:lang w:val="hr-HR"/>
        </w:rPr>
        <w:t>4</w:t>
      </w:r>
      <w:r w:rsidR="004D2A2E">
        <w:rPr>
          <w:color w:val="404040"/>
          <w:lang w:val="hr-HR"/>
        </w:rPr>
        <w:t>. godina</w:t>
      </w:r>
    </w:p>
    <w:p w14:paraId="2F8C8CE8" w14:textId="77777777" w:rsidR="004D2A2E" w:rsidRDefault="004D2A2E" w:rsidP="004D2A2E">
      <w:pPr>
        <w:pStyle w:val="Standard"/>
        <w:rPr>
          <w:rFonts w:ascii="Cambria" w:hAnsi="Cambria"/>
          <w:sz w:val="20"/>
          <w:szCs w:val="20"/>
        </w:rPr>
      </w:pPr>
    </w:p>
    <w:p w14:paraId="3E065A93" w14:textId="77777777" w:rsidR="007A685F" w:rsidRPr="005F19FA" w:rsidRDefault="007A685F" w:rsidP="00A02495"/>
    <w:p w14:paraId="14CD9F62" w14:textId="77777777" w:rsidR="007A685F" w:rsidRPr="005F19FA" w:rsidRDefault="007A685F" w:rsidP="00A02495"/>
    <w:p w14:paraId="2F682E3F" w14:textId="77777777" w:rsidR="007A685F" w:rsidRPr="005F19FA" w:rsidRDefault="007A685F" w:rsidP="00A02495"/>
    <w:p w14:paraId="4AC2F0D7" w14:textId="77777777" w:rsidR="007A685F" w:rsidRPr="005F19FA" w:rsidRDefault="007A685F" w:rsidP="00A02495"/>
    <w:p w14:paraId="5AEFC017" w14:textId="77777777" w:rsidR="00020BB7" w:rsidRPr="005F19FA" w:rsidRDefault="00020BB7" w:rsidP="00A02495"/>
    <w:p w14:paraId="3AA9243F" w14:textId="77777777" w:rsidR="00020BB7" w:rsidRPr="005F19FA" w:rsidRDefault="00020BB7" w:rsidP="00A02495"/>
    <w:p w14:paraId="05E06253" w14:textId="77777777" w:rsidR="00020BB7" w:rsidRPr="005F19FA" w:rsidRDefault="00020BB7" w:rsidP="00A02495"/>
    <w:p w14:paraId="0C28D10A" w14:textId="77777777" w:rsidR="007A685F" w:rsidRDefault="007A685F" w:rsidP="00A02495"/>
    <w:p w14:paraId="14E819AB" w14:textId="77777777" w:rsidR="00062C83" w:rsidRDefault="00062C83" w:rsidP="00A02495"/>
    <w:p w14:paraId="272D6EF8" w14:textId="5E82DD20" w:rsidR="004D2A2E" w:rsidRDefault="00485F01" w:rsidP="00485F01">
      <w:pPr>
        <w:tabs>
          <w:tab w:val="left" w:pos="1769"/>
        </w:tabs>
      </w:pPr>
      <w:r>
        <w:tab/>
      </w:r>
    </w:p>
    <w:p w14:paraId="1506DC44" w14:textId="77777777" w:rsidR="00062C83" w:rsidRDefault="00062C83" w:rsidP="00A02495"/>
    <w:p w14:paraId="433CCAB6" w14:textId="77777777" w:rsidR="00B03441" w:rsidRDefault="00B03441" w:rsidP="00A02495"/>
    <w:p w14:paraId="201E996D" w14:textId="77777777" w:rsidR="00960D36" w:rsidRDefault="00960D36" w:rsidP="00A02495"/>
    <w:p w14:paraId="3ED25830" w14:textId="77777777" w:rsidR="00960D36" w:rsidRDefault="00960D36" w:rsidP="00A02495"/>
    <w:p w14:paraId="3200C261" w14:textId="77777777" w:rsidR="00960D36" w:rsidRDefault="00960D36" w:rsidP="00A02495"/>
    <w:p w14:paraId="29A78470" w14:textId="77777777" w:rsidR="00960D36" w:rsidRDefault="00960D36" w:rsidP="00A02495"/>
    <w:p w14:paraId="18EB685D" w14:textId="77777777" w:rsidR="00960D36" w:rsidRDefault="00960D36" w:rsidP="00A02495"/>
    <w:p w14:paraId="5A5B2FED" w14:textId="77777777" w:rsidR="00685B3A" w:rsidRDefault="00685B3A" w:rsidP="00A02495"/>
    <w:p w14:paraId="0E396FD4" w14:textId="77777777" w:rsidR="007A685F" w:rsidRPr="005F19FA" w:rsidRDefault="007A685F" w:rsidP="00A02495"/>
    <w:p w14:paraId="4C83C4F9" w14:textId="229A57DB" w:rsidR="00974BEC" w:rsidRPr="00485F01" w:rsidRDefault="00974BEC" w:rsidP="00A02495">
      <w:r w:rsidRPr="00485F01">
        <w:t xml:space="preserve">Broj:  </w:t>
      </w:r>
      <w:r w:rsidR="00485F01" w:rsidRPr="00485F01">
        <w:t>5694/2025</w:t>
      </w:r>
    </w:p>
    <w:p w14:paraId="76285DB2" w14:textId="2EA33FA8" w:rsidR="00985CC4" w:rsidRPr="000007C5" w:rsidRDefault="007E7ABF" w:rsidP="00A02495">
      <w:r>
        <w:t>30. travanj 2025. godine</w:t>
      </w:r>
    </w:p>
    <w:p w14:paraId="4DA56392" w14:textId="77777777" w:rsidR="004D2A2E" w:rsidRDefault="004D2A2E" w:rsidP="004D2A2E">
      <w:pPr>
        <w:pStyle w:val="Standard"/>
        <w:pageBreakBefore/>
        <w:pBdr>
          <w:bottom w:val="single" w:sz="18" w:space="4" w:color="000080"/>
        </w:pBdr>
        <w:spacing w:after="0"/>
        <w:rPr>
          <w:rFonts w:ascii="Cambria" w:hAnsi="Cambria"/>
          <w:b/>
          <w:color w:val="404040"/>
          <w:sz w:val="32"/>
        </w:rPr>
      </w:pPr>
      <w:r w:rsidRPr="000007C5">
        <w:rPr>
          <w:rFonts w:ascii="Cambria" w:hAnsi="Cambria"/>
          <w:b/>
          <w:color w:val="404040"/>
          <w:sz w:val="32"/>
        </w:rPr>
        <w:lastRenderedPageBreak/>
        <w:t>Direktor</w:t>
      </w:r>
      <w:r>
        <w:rPr>
          <w:rFonts w:ascii="Cambria" w:hAnsi="Cambria"/>
          <w:b/>
          <w:color w:val="404040"/>
          <w:sz w:val="32"/>
        </w:rPr>
        <w:t xml:space="preserve"> o poslovanju</w:t>
      </w:r>
    </w:p>
    <w:p w14:paraId="5CE9B134" w14:textId="77777777" w:rsidR="00BA4107" w:rsidRDefault="00BA4107" w:rsidP="00A02495"/>
    <w:p w14:paraId="054EDD94" w14:textId="5CC6A4B9" w:rsidR="009D190E" w:rsidRPr="009D190E" w:rsidRDefault="009D190E" w:rsidP="009D190E">
      <w:pPr>
        <w:rPr>
          <w:u w:val="single"/>
        </w:rPr>
      </w:pPr>
      <w:r w:rsidRPr="009D190E">
        <w:t>U nastavku su kratko prikazani statusni podaci, podaci o djelatnosti, ljudskim resursima, pokrenutim investicijama i rezultatu poslovanja Vodovoda Pula</w:t>
      </w:r>
      <w:r w:rsidR="007C25FB">
        <w:t>-Labin</w:t>
      </w:r>
      <w:r w:rsidRPr="009D190E">
        <w:t xml:space="preserve"> d.o.o.</w:t>
      </w:r>
      <w:r w:rsidR="007C25FB">
        <w:t xml:space="preserve"> (ex: Vodovod Pula d.o.o.)</w:t>
      </w:r>
    </w:p>
    <w:p w14:paraId="3D973B67" w14:textId="77777777" w:rsidR="009D190E" w:rsidRPr="009D190E" w:rsidRDefault="009D190E" w:rsidP="009D190E">
      <w:pPr>
        <w:rPr>
          <w:b/>
        </w:rPr>
      </w:pPr>
    </w:p>
    <w:p w14:paraId="6DCEA094" w14:textId="77777777" w:rsidR="009D190E" w:rsidRPr="009D190E" w:rsidRDefault="009D190E" w:rsidP="009D190E">
      <w:pPr>
        <w:pBdr>
          <w:bottom w:val="single" w:sz="4" w:space="1" w:color="333399"/>
        </w:pBdr>
        <w:rPr>
          <w:b/>
        </w:rPr>
      </w:pPr>
      <w:r w:rsidRPr="009D190E">
        <w:t>S</w:t>
      </w:r>
      <w:r w:rsidRPr="009D190E">
        <w:rPr>
          <w:b/>
        </w:rPr>
        <w:t>tatusni podaci</w:t>
      </w:r>
    </w:p>
    <w:p w14:paraId="2AF33684" w14:textId="77777777" w:rsidR="009D190E" w:rsidRPr="009D190E" w:rsidRDefault="009D190E" w:rsidP="009D190E"/>
    <w:p w14:paraId="4F7F3D65" w14:textId="77777777" w:rsidR="009D190E" w:rsidRPr="009D190E" w:rsidRDefault="009D190E" w:rsidP="009D190E">
      <w:r w:rsidRPr="009D190E">
        <w:t xml:space="preserve">Vlasnička struktura Društva u 2024. godini je slijedeća: </w:t>
      </w:r>
    </w:p>
    <w:p w14:paraId="0D96573C" w14:textId="77777777" w:rsidR="009D190E" w:rsidRDefault="009D190E" w:rsidP="0094608E">
      <w:pPr>
        <w:pStyle w:val="Odlomakpopisa"/>
        <w:numPr>
          <w:ilvl w:val="0"/>
          <w:numId w:val="7"/>
        </w:numPr>
        <w:sectPr w:rsidR="009D190E" w:rsidSect="004D2A2E">
          <w:footerReference w:type="default" r:id="rId8"/>
          <w:headerReference w:type="first" r:id="rId9"/>
          <w:pgSz w:w="11906" w:h="16838"/>
          <w:pgMar w:top="1134" w:right="1417" w:bottom="1417" w:left="1417" w:header="708" w:footer="708" w:gutter="0"/>
          <w:cols w:space="708"/>
          <w:titlePg/>
          <w:docGrid w:linePitch="360"/>
        </w:sectPr>
      </w:pPr>
    </w:p>
    <w:p w14:paraId="5F63248E" w14:textId="77777777" w:rsidR="009D190E" w:rsidRPr="009D190E" w:rsidRDefault="009D190E" w:rsidP="0094608E">
      <w:pPr>
        <w:pStyle w:val="Odlomakpopisa"/>
        <w:numPr>
          <w:ilvl w:val="0"/>
          <w:numId w:val="7"/>
        </w:numPr>
      </w:pPr>
      <w:r w:rsidRPr="009D190E">
        <w:t xml:space="preserve">Grad Pula (73%), </w:t>
      </w:r>
    </w:p>
    <w:p w14:paraId="797E45C2" w14:textId="77777777" w:rsidR="009D190E" w:rsidRPr="009D190E" w:rsidRDefault="009D190E" w:rsidP="0094608E">
      <w:pPr>
        <w:pStyle w:val="Odlomakpopisa"/>
        <w:numPr>
          <w:ilvl w:val="0"/>
          <w:numId w:val="7"/>
        </w:numPr>
      </w:pPr>
      <w:r w:rsidRPr="009D190E">
        <w:t>Grad Vodnjan (9%),</w:t>
      </w:r>
    </w:p>
    <w:p w14:paraId="7C470C13" w14:textId="77777777" w:rsidR="009D190E" w:rsidRPr="009D190E" w:rsidRDefault="009D190E" w:rsidP="0094608E">
      <w:pPr>
        <w:pStyle w:val="Odlomakpopisa"/>
        <w:numPr>
          <w:ilvl w:val="0"/>
          <w:numId w:val="7"/>
        </w:numPr>
      </w:pPr>
      <w:r w:rsidRPr="009D190E">
        <w:t xml:space="preserve">Općina Barban(2%),  </w:t>
      </w:r>
    </w:p>
    <w:p w14:paraId="4CA7249F" w14:textId="77777777" w:rsidR="009D190E" w:rsidRPr="009D190E" w:rsidRDefault="009D190E" w:rsidP="0094608E">
      <w:pPr>
        <w:pStyle w:val="Odlomakpopisa"/>
        <w:numPr>
          <w:ilvl w:val="0"/>
          <w:numId w:val="7"/>
        </w:numPr>
      </w:pPr>
      <w:r w:rsidRPr="009D190E">
        <w:t xml:space="preserve">Općina Ližnjan(3%),  </w:t>
      </w:r>
    </w:p>
    <w:p w14:paraId="4334BB02" w14:textId="77777777" w:rsidR="009D190E" w:rsidRPr="009D190E" w:rsidRDefault="009D190E" w:rsidP="0094608E">
      <w:pPr>
        <w:pStyle w:val="Odlomakpopisa"/>
        <w:numPr>
          <w:ilvl w:val="0"/>
          <w:numId w:val="7"/>
        </w:numPr>
      </w:pPr>
      <w:r w:rsidRPr="009D190E">
        <w:t xml:space="preserve">Općina Marčana(4%), </w:t>
      </w:r>
    </w:p>
    <w:p w14:paraId="58F70DFF" w14:textId="77777777" w:rsidR="009D190E" w:rsidRPr="009D190E" w:rsidRDefault="009D190E" w:rsidP="0094608E">
      <w:pPr>
        <w:pStyle w:val="Odlomakpopisa"/>
        <w:numPr>
          <w:ilvl w:val="0"/>
          <w:numId w:val="7"/>
        </w:numPr>
      </w:pPr>
      <w:r w:rsidRPr="009D190E">
        <w:t xml:space="preserve">Općina Medulin(7%),  </w:t>
      </w:r>
    </w:p>
    <w:p w14:paraId="18E0DA6A" w14:textId="77777777" w:rsidR="009D190E" w:rsidRPr="009D190E" w:rsidRDefault="009D190E" w:rsidP="0094608E">
      <w:pPr>
        <w:pStyle w:val="Odlomakpopisa"/>
        <w:numPr>
          <w:ilvl w:val="0"/>
          <w:numId w:val="7"/>
        </w:numPr>
      </w:pPr>
      <w:r w:rsidRPr="009D190E">
        <w:t>Općina Svetvinčenat (1%) i</w:t>
      </w:r>
    </w:p>
    <w:p w14:paraId="0527C1C5" w14:textId="77777777" w:rsidR="009D190E" w:rsidRPr="009D190E" w:rsidRDefault="009D190E" w:rsidP="0094608E">
      <w:pPr>
        <w:pStyle w:val="Odlomakpopisa"/>
        <w:numPr>
          <w:ilvl w:val="0"/>
          <w:numId w:val="7"/>
        </w:numPr>
      </w:pPr>
      <w:r w:rsidRPr="009D190E">
        <w:t xml:space="preserve">Općina Fažana (1%). </w:t>
      </w:r>
    </w:p>
    <w:p w14:paraId="5B9D4CA5" w14:textId="77777777" w:rsidR="009D190E" w:rsidRDefault="009D190E" w:rsidP="009D190E">
      <w:pPr>
        <w:sectPr w:rsidR="009D190E" w:rsidSect="009D190E">
          <w:type w:val="continuous"/>
          <w:pgSz w:w="11906" w:h="16838"/>
          <w:pgMar w:top="1134" w:right="1417" w:bottom="1417" w:left="1417" w:header="708" w:footer="708" w:gutter="0"/>
          <w:cols w:num="2" w:space="708"/>
          <w:titlePg/>
          <w:docGrid w:linePitch="360"/>
        </w:sectPr>
      </w:pPr>
    </w:p>
    <w:p w14:paraId="61414AF3" w14:textId="77777777" w:rsidR="009D190E" w:rsidRPr="009D190E" w:rsidRDefault="009D190E" w:rsidP="009D190E"/>
    <w:p w14:paraId="20E548CF" w14:textId="77777777" w:rsidR="009D190E" w:rsidRPr="009D190E" w:rsidRDefault="009D190E" w:rsidP="009D190E">
      <w:r w:rsidRPr="009D190E">
        <w:t>Društvo ne posjeduje vlastite udjele, te u promatranom razdoblju nije vršilo otkup istih.</w:t>
      </w:r>
    </w:p>
    <w:p w14:paraId="172702B2" w14:textId="77777777" w:rsidR="009D190E" w:rsidRPr="009D190E" w:rsidRDefault="009D190E" w:rsidP="009D190E"/>
    <w:p w14:paraId="4E9F23CE" w14:textId="1375FF89" w:rsidR="009D190E" w:rsidRPr="009D190E" w:rsidRDefault="009D190E" w:rsidP="009D190E">
      <w:r w:rsidRPr="009D190E">
        <w:t>Dana 15.7.2023. godine stupila je na snagu Uredba o uslužnim područjima ("Narodne novine" broj 70/23) kojom je Vodovod Pula d.o.o.</w:t>
      </w:r>
      <w:r w:rsidR="007C25FB">
        <w:t xml:space="preserve"> </w:t>
      </w:r>
      <w:r w:rsidRPr="009D190E">
        <w:t xml:space="preserve">određen kao društvo preuzimatelj na uslužnom području 24 koje obuhvaća gradove Labin, Pula-Pola i Vodnjan-Dignano, te općine Barban, Fažana-Fasana, Kršan, Ližnjan-Lisignano, Marčana, Medulin, Pićan, Raša, Sveta Nedjelja i Svetvinčenat u Istarskoj županiji. Prema spomenutoj uredbi Vodovodu Pula d.o.o. pripajaju se postojeći isporučitelji na uslužnom području 24 i to: Albanež d.o.o. i Vodovod Labin d.o.o. </w:t>
      </w:r>
    </w:p>
    <w:p w14:paraId="4A2D7811" w14:textId="77777777" w:rsidR="009D190E" w:rsidRPr="009D190E" w:rsidRDefault="009D190E" w:rsidP="009D190E"/>
    <w:p w14:paraId="4D640309" w14:textId="21066BE8" w:rsidR="009D190E" w:rsidRPr="009D190E" w:rsidRDefault="009D190E" w:rsidP="009D190E">
      <w:r w:rsidRPr="009D190E">
        <w:t>U 2024. godini nastavljene su radnje započete u 2023. godini, vezane za postupak pripajanja društava Vodovod Labin d.o.o. i Albanež d.o.o. društvu preuzimatelju Vodovod Pula, sukladno navedenoj Uredbi te odredbama Zakona o vodnim uslugama i odredbama Zakona o trgovačkim društvima. Krajem godine, potpisani su Ugovor o pripajanju (17.12.2024.),  Društveni ugovor društva Vodovod Pula – Labin d.o.o. (23.12.2024.), te podnesena prijava pripajanja Trgovačkom sudu u Pazinu.</w:t>
      </w:r>
      <w:r w:rsidR="007650B8">
        <w:t xml:space="preserve"> Pripajanje je provedeno u veljači 2025. kada je promijenjena tvrtka iz Vodovod Pula d.o.o. u Vodovod Pula-Labin d.o.o.</w:t>
      </w:r>
    </w:p>
    <w:p w14:paraId="10D54877" w14:textId="77777777" w:rsidR="009D190E" w:rsidRPr="009D190E" w:rsidRDefault="009D190E" w:rsidP="009D190E">
      <w:r w:rsidRPr="009D190E">
        <w:t>  </w:t>
      </w:r>
    </w:p>
    <w:p w14:paraId="6149A8B0" w14:textId="77777777" w:rsidR="009D190E" w:rsidRPr="009D190E" w:rsidRDefault="009D190E" w:rsidP="009D190E">
      <w:pPr>
        <w:rPr>
          <w:bCs/>
          <w:iCs/>
        </w:rPr>
      </w:pPr>
      <w:r w:rsidRPr="009D190E">
        <w:rPr>
          <w:bCs/>
          <w:iCs/>
        </w:rPr>
        <w:t>Upravu Društva čini jedan član – direktor, koji samostalno i pojedinačno zastupa Društvo. Od 01.06.2022. godine direktor Društva je EDO KRAJCAR.</w:t>
      </w:r>
    </w:p>
    <w:p w14:paraId="61D94F43" w14:textId="77777777" w:rsidR="009D190E" w:rsidRPr="009D190E" w:rsidRDefault="009D190E" w:rsidP="009D190E">
      <w:pPr>
        <w:rPr>
          <w:bCs/>
          <w:iCs/>
          <w:highlight w:val="yellow"/>
        </w:rPr>
      </w:pPr>
    </w:p>
    <w:p w14:paraId="68C2A9AF" w14:textId="77777777" w:rsidR="009D190E" w:rsidRPr="009D190E" w:rsidRDefault="009D190E" w:rsidP="009D190E">
      <w:pPr>
        <w:spacing w:after="240"/>
        <w:rPr>
          <w:bCs/>
          <w:iCs/>
        </w:rPr>
      </w:pPr>
      <w:r w:rsidRPr="009D190E">
        <w:rPr>
          <w:bCs/>
          <w:iCs/>
        </w:rPr>
        <w:t xml:space="preserve">Društvo ima Nadzorni odbor od 5 članova, i djeluje u slijedećem sastavu: </w:t>
      </w:r>
    </w:p>
    <w:p w14:paraId="0EF49171" w14:textId="77777777" w:rsidR="009D190E" w:rsidRPr="009D190E" w:rsidRDefault="009D190E" w:rsidP="0094608E">
      <w:pPr>
        <w:pStyle w:val="Odlomakpopisa"/>
        <w:numPr>
          <w:ilvl w:val="0"/>
          <w:numId w:val="6"/>
        </w:numPr>
        <w:jc w:val="left"/>
      </w:pPr>
      <w:r w:rsidRPr="009D190E">
        <w:t>PETAR PERKOV, predsjednik Nadzornog odbora - imenovan Odlukom Skupštine društva od 03.12.2021. godine</w:t>
      </w:r>
    </w:p>
    <w:p w14:paraId="577C60FC" w14:textId="77777777" w:rsidR="009D190E" w:rsidRPr="009D190E" w:rsidRDefault="009D190E" w:rsidP="0094608E">
      <w:pPr>
        <w:pStyle w:val="Odlomakpopisa"/>
        <w:numPr>
          <w:ilvl w:val="0"/>
          <w:numId w:val="6"/>
        </w:numPr>
        <w:jc w:val="left"/>
      </w:pPr>
      <w:r w:rsidRPr="009D190E">
        <w:t>TANJA FRANKOVIĆ, zamjenik predsjednika Nadzornog odbora - imenovana Odlukom Skupštine društva od 03.12.2021. godine</w:t>
      </w:r>
    </w:p>
    <w:p w14:paraId="59A18195" w14:textId="77777777" w:rsidR="009D190E" w:rsidRPr="009D190E" w:rsidRDefault="009D190E" w:rsidP="0094608E">
      <w:pPr>
        <w:pStyle w:val="Odlomakpopisa"/>
        <w:numPr>
          <w:ilvl w:val="0"/>
          <w:numId w:val="6"/>
        </w:numPr>
        <w:jc w:val="left"/>
      </w:pPr>
      <w:r w:rsidRPr="009D190E">
        <w:t>IGOR RAJLIĆ, član Nadzornog odbora - imenovan Odlukom Skupštine društva od 03.12.2021. godine</w:t>
      </w:r>
    </w:p>
    <w:p w14:paraId="23F50965" w14:textId="77777777" w:rsidR="009D190E" w:rsidRPr="009D190E" w:rsidRDefault="009D190E" w:rsidP="0094608E">
      <w:pPr>
        <w:pStyle w:val="Odlomakpopisa"/>
        <w:numPr>
          <w:ilvl w:val="0"/>
          <w:numId w:val="6"/>
        </w:numPr>
        <w:jc w:val="left"/>
      </w:pPr>
      <w:r w:rsidRPr="009D190E">
        <w:t>VEDRAN RADOLOVIĆ, član Nadzornog odbora - imenovan Odlukom Skupštine društva od 22.09.2022. godine</w:t>
      </w:r>
    </w:p>
    <w:p w14:paraId="0A76407C" w14:textId="77777777" w:rsidR="009D190E" w:rsidRDefault="009D190E" w:rsidP="0094608E">
      <w:pPr>
        <w:pStyle w:val="Odlomakpopisa"/>
        <w:numPr>
          <w:ilvl w:val="0"/>
          <w:numId w:val="6"/>
        </w:numPr>
        <w:jc w:val="left"/>
      </w:pPr>
      <w:r w:rsidRPr="009D190E">
        <w:t>ZVJEZDANA MOČINIĆ, član Nadzornog odbora - imenovana Odlukom Radničkog vijeća od 28.2.2022. godine</w:t>
      </w:r>
    </w:p>
    <w:p w14:paraId="533F2F4A" w14:textId="77777777" w:rsidR="009D190E" w:rsidRDefault="009D190E" w:rsidP="009D190E">
      <w:pPr>
        <w:jc w:val="left"/>
      </w:pPr>
    </w:p>
    <w:p w14:paraId="759491E3" w14:textId="77777777" w:rsidR="009D190E" w:rsidRPr="009D190E" w:rsidRDefault="009D190E" w:rsidP="009D190E">
      <w:pPr>
        <w:pBdr>
          <w:bottom w:val="single" w:sz="4" w:space="1" w:color="333399"/>
        </w:pBdr>
        <w:rPr>
          <w:b/>
        </w:rPr>
      </w:pPr>
      <w:r w:rsidRPr="009D190E">
        <w:rPr>
          <w:b/>
        </w:rPr>
        <w:lastRenderedPageBreak/>
        <w:t xml:space="preserve">O djelatnosti </w:t>
      </w:r>
    </w:p>
    <w:p w14:paraId="5FAD9E2F" w14:textId="77777777" w:rsidR="009D190E" w:rsidRPr="009D190E" w:rsidRDefault="009D190E" w:rsidP="009D190E">
      <w:pPr>
        <w:rPr>
          <w:b/>
        </w:rPr>
      </w:pPr>
    </w:p>
    <w:p w14:paraId="229A607F" w14:textId="77777777" w:rsidR="009D190E" w:rsidRPr="009D190E" w:rsidRDefault="009D190E" w:rsidP="009D190E">
      <w:pPr>
        <w:rPr>
          <w:b/>
        </w:rPr>
      </w:pPr>
      <w:r w:rsidRPr="009D190E">
        <w:rPr>
          <w:b/>
        </w:rPr>
        <w:t>VODOOPSKRBA</w:t>
      </w:r>
    </w:p>
    <w:p w14:paraId="17749F70" w14:textId="77777777" w:rsidR="009D190E" w:rsidRPr="009D190E" w:rsidRDefault="009D190E" w:rsidP="009D190E">
      <w:pPr>
        <w:rPr>
          <w:b/>
        </w:rPr>
      </w:pPr>
    </w:p>
    <w:p w14:paraId="7015411C" w14:textId="5E4392DD" w:rsidR="009D190E" w:rsidRPr="009D190E" w:rsidRDefault="009D190E" w:rsidP="009D190E">
      <w:r w:rsidRPr="009D190E">
        <w:t>Vodoopskrbni sustav Vodovoda Pula</w:t>
      </w:r>
      <w:r w:rsidR="007650B8">
        <w:t>-Labin d.o.o. (ex: Vodovod Pula d.o.o.)</w:t>
      </w:r>
      <w:r w:rsidRPr="009D190E">
        <w:t xml:space="preserve"> obuhvaća</w:t>
      </w:r>
      <w:r w:rsidRPr="009D190E">
        <w:rPr>
          <w:rStyle w:val="Referencafusnote"/>
        </w:rPr>
        <w:footnoteReference w:id="1"/>
      </w:r>
      <w:r w:rsidRPr="009D190E">
        <w:t>:</w:t>
      </w:r>
    </w:p>
    <w:p w14:paraId="7A6FBC90" w14:textId="77777777" w:rsidR="009D190E" w:rsidRPr="009D190E" w:rsidRDefault="009D190E" w:rsidP="0094608E">
      <w:pPr>
        <w:pStyle w:val="Odlomakpopisa"/>
        <w:numPr>
          <w:ilvl w:val="0"/>
          <w:numId w:val="17"/>
        </w:numPr>
        <w:ind w:left="284"/>
        <w:jc w:val="left"/>
      </w:pPr>
      <w:r w:rsidRPr="009D190E">
        <w:t>2 izvorišta: izvor Rakonek i izvor Karolina - Nimfe, s time da za izvor Karolina – Nimfe Vodovod ne raspolaže vodopravnom dozvolom, a postrojenje se održava pripravno za rad u slučaju izvanrednih potreba za vodom;</w:t>
      </w:r>
    </w:p>
    <w:p w14:paraId="2BA1E802" w14:textId="77777777" w:rsidR="009D190E" w:rsidRPr="009D190E" w:rsidRDefault="009D190E" w:rsidP="0094608E">
      <w:pPr>
        <w:pStyle w:val="Odlomakpopisa"/>
        <w:numPr>
          <w:ilvl w:val="0"/>
          <w:numId w:val="16"/>
        </w:numPr>
        <w:ind w:left="284"/>
        <w:jc w:val="left"/>
      </w:pPr>
      <w:r w:rsidRPr="009D190E">
        <w:t xml:space="preserve">14 bunara: Peroj (Klobuk), Karpi, Tivoli, Valdragon 3, Valdragon 4, Valdragon 5, Škatari, Jadreški, Šišan, Campanož, Ševe, Fojbon  te bunare Rizzi i Lokvere. </w:t>
      </w:r>
    </w:p>
    <w:p w14:paraId="7D4E6CC4" w14:textId="77777777" w:rsidR="009D190E" w:rsidRPr="009D190E" w:rsidRDefault="009D190E" w:rsidP="009D190E">
      <w:pPr>
        <w:pStyle w:val="Odlomakpopisa"/>
        <w:ind w:left="284"/>
      </w:pPr>
      <w:r w:rsidRPr="009D190E">
        <w:t xml:space="preserve">Bunari Šišan i Ševe se koriste cijele godine. Za zahvaćanje vode bunara Rizzi i Lokvere Vodovod ne raspolaže vodopravnom dozvolom te se isti nalaze u pričuvi i koristi samo u slučaju izvanrednih potreba za vodom. Od ostalih pulskih bunara samo Tivoli, Campanož, Jadreški, Fojbon, Valdragon 5, Peroj, Karpi zadovoljavaju zahtjeve sukladnosti zdravstvene ispravnosti vode za ljudsku potrošnju i mogu se koristiti za vodoopskrbu prema potrebi, a voda bunara Škatari, Rizzi, Lokvere Valdragoni 3 i 4 bez prethodne prerade nije moguće crpiti vodu zadovoljavajuće kvalitete; </w:t>
      </w:r>
    </w:p>
    <w:p w14:paraId="44AF8574" w14:textId="77777777" w:rsidR="009D190E" w:rsidRPr="009D190E" w:rsidRDefault="009D190E" w:rsidP="0094608E">
      <w:pPr>
        <w:pStyle w:val="Odlomakpopisa"/>
        <w:numPr>
          <w:ilvl w:val="0"/>
          <w:numId w:val="16"/>
        </w:numPr>
        <w:ind w:left="284"/>
        <w:jc w:val="left"/>
      </w:pPr>
      <w:r w:rsidRPr="009D190E">
        <w:t xml:space="preserve">30 vodosprema; </w:t>
      </w:r>
    </w:p>
    <w:p w14:paraId="1C9F7C7F" w14:textId="77777777" w:rsidR="009D190E" w:rsidRPr="009D190E" w:rsidRDefault="009D190E" w:rsidP="0094608E">
      <w:pPr>
        <w:pStyle w:val="Odlomakpopisa"/>
        <w:numPr>
          <w:ilvl w:val="0"/>
          <w:numId w:val="16"/>
        </w:numPr>
        <w:ind w:left="284"/>
        <w:jc w:val="left"/>
      </w:pPr>
      <w:r w:rsidRPr="009D190E">
        <w:t>11 prekidnih komora u funkciji;</w:t>
      </w:r>
    </w:p>
    <w:p w14:paraId="2D77E74F" w14:textId="77777777" w:rsidR="009D190E" w:rsidRPr="009D190E" w:rsidRDefault="009D190E" w:rsidP="0094608E">
      <w:pPr>
        <w:pStyle w:val="Odlomakpopisa"/>
        <w:numPr>
          <w:ilvl w:val="0"/>
          <w:numId w:val="16"/>
        </w:numPr>
        <w:ind w:left="284"/>
        <w:jc w:val="left"/>
      </w:pPr>
      <w:r w:rsidRPr="009D190E">
        <w:t xml:space="preserve">1 crpna te 11 precrpnih stanica; </w:t>
      </w:r>
    </w:p>
    <w:p w14:paraId="6BF18D00" w14:textId="77777777" w:rsidR="009D190E" w:rsidRPr="009D190E" w:rsidRDefault="009D190E" w:rsidP="0094608E">
      <w:pPr>
        <w:pStyle w:val="Odlomakpopisa"/>
        <w:numPr>
          <w:ilvl w:val="0"/>
          <w:numId w:val="16"/>
        </w:numPr>
        <w:ind w:left="284"/>
        <w:jc w:val="left"/>
      </w:pPr>
      <w:r w:rsidRPr="009D190E">
        <w:t xml:space="preserve">3 postrojenja za pripremu vode za ljudsku potrošnju (Pogon Rakonek, bunar Tivoli i Campanož); </w:t>
      </w:r>
    </w:p>
    <w:p w14:paraId="2CBB27E5" w14:textId="77777777" w:rsidR="009D190E" w:rsidRPr="009D190E" w:rsidRDefault="009D190E" w:rsidP="0094608E">
      <w:pPr>
        <w:pStyle w:val="Odlomakpopisa"/>
        <w:numPr>
          <w:ilvl w:val="0"/>
          <w:numId w:val="16"/>
        </w:numPr>
        <w:ind w:left="284"/>
        <w:jc w:val="left"/>
      </w:pPr>
      <w:r w:rsidRPr="009D190E">
        <w:t>18 klorinatorskih stanica;</w:t>
      </w:r>
    </w:p>
    <w:p w14:paraId="22F64F70" w14:textId="77777777" w:rsidR="009D190E" w:rsidRPr="009D190E" w:rsidRDefault="009D190E" w:rsidP="0094608E">
      <w:pPr>
        <w:pStyle w:val="Odlomakpopisa"/>
        <w:numPr>
          <w:ilvl w:val="0"/>
          <w:numId w:val="16"/>
        </w:numPr>
        <w:ind w:left="284"/>
        <w:jc w:val="left"/>
      </w:pPr>
      <w:r w:rsidRPr="009D190E">
        <w:t>cjevovodi raznih profila i materijala ukupne dužine cca 1010 km;</w:t>
      </w:r>
    </w:p>
    <w:p w14:paraId="5E524DF5" w14:textId="77777777" w:rsidR="009D190E" w:rsidRPr="009D190E" w:rsidRDefault="009D190E" w:rsidP="0094608E">
      <w:pPr>
        <w:pStyle w:val="Odlomakpopisa"/>
        <w:numPr>
          <w:ilvl w:val="0"/>
          <w:numId w:val="16"/>
        </w:numPr>
        <w:ind w:left="284"/>
        <w:jc w:val="left"/>
      </w:pPr>
      <w:r w:rsidRPr="009D190E">
        <w:t>3270 vodnih hidranata;</w:t>
      </w:r>
    </w:p>
    <w:p w14:paraId="16859AC8" w14:textId="77777777" w:rsidR="009D190E" w:rsidRPr="009D190E" w:rsidRDefault="009D190E" w:rsidP="0094608E">
      <w:pPr>
        <w:pStyle w:val="Odlomakpopisa"/>
        <w:numPr>
          <w:ilvl w:val="0"/>
          <w:numId w:val="16"/>
        </w:numPr>
        <w:ind w:left="284"/>
        <w:jc w:val="left"/>
      </w:pPr>
      <w:r w:rsidRPr="009D190E">
        <w:t>61.309 vodnih priključaka.</w:t>
      </w:r>
    </w:p>
    <w:p w14:paraId="1E8F97EA" w14:textId="77777777" w:rsidR="009D190E" w:rsidRPr="009D190E" w:rsidRDefault="009D190E" w:rsidP="009D190E"/>
    <w:p w14:paraId="05C3BAC3" w14:textId="77777777" w:rsidR="009D190E" w:rsidRPr="009D190E" w:rsidRDefault="009D190E" w:rsidP="009D190E">
      <w:r w:rsidRPr="009D190E">
        <w:t xml:space="preserve">Za vodoopskrbu pitkom vodom Društvo također preuzima i distribuira vodu iz vodoopskrbnog sustava Istarskog vodovoda Buzet d.o.o. (nadalje IVB) iz izvora Gradole i površinske akumulacije Butoniga, te Vodovoda Labin d.o.o. zahvaćanje vode sa izvorišta sv. Anton. </w:t>
      </w:r>
    </w:p>
    <w:p w14:paraId="40E07AA5" w14:textId="77777777" w:rsidR="009D190E" w:rsidRPr="009D190E" w:rsidRDefault="009D190E" w:rsidP="009D190E"/>
    <w:p w14:paraId="7ECDE16E" w14:textId="1E2360B3" w:rsidR="009D190E" w:rsidRPr="009D190E" w:rsidRDefault="009D190E" w:rsidP="009D190E">
      <w:r w:rsidRPr="009D190E">
        <w:t>S obzirom na navedeno, vodoopskrba kojom upravlja Vodovod Pula</w:t>
      </w:r>
      <w:r w:rsidR="007C25FB">
        <w:t>-Labin</w:t>
      </w:r>
      <w:r w:rsidRPr="009D190E">
        <w:t xml:space="preserve"> d.o.o.</w:t>
      </w:r>
      <w:r w:rsidR="007C25FB">
        <w:t xml:space="preserve"> (ex: Vodovod Pula d.o.o.)</w:t>
      </w:r>
      <w:r w:rsidRPr="009D190E">
        <w:t xml:space="preserve"> podijeljena je u pet zona (ZO):</w:t>
      </w:r>
    </w:p>
    <w:p w14:paraId="3B4E42D4" w14:textId="77777777" w:rsidR="009D190E" w:rsidRPr="009D190E" w:rsidRDefault="009D190E" w:rsidP="0094608E">
      <w:pPr>
        <w:pStyle w:val="Odlomakpopisa"/>
        <w:numPr>
          <w:ilvl w:val="0"/>
          <w:numId w:val="18"/>
        </w:numPr>
        <w:jc w:val="left"/>
      </w:pPr>
      <w:r w:rsidRPr="009D190E">
        <w:t>ZO  Rakonek: uključuje opskrbu od izvorišta Rakonek i distribucijsku mrežu do grada Pule;</w:t>
      </w:r>
    </w:p>
    <w:p w14:paraId="4466A13F" w14:textId="77777777" w:rsidR="009D190E" w:rsidRPr="009D190E" w:rsidRDefault="009D190E" w:rsidP="0094608E">
      <w:pPr>
        <w:pStyle w:val="Odlomakpopisa"/>
        <w:numPr>
          <w:ilvl w:val="0"/>
          <w:numId w:val="18"/>
        </w:numPr>
        <w:jc w:val="left"/>
      </w:pPr>
      <w:r w:rsidRPr="009D190E">
        <w:t>ZO Gradole: obuhvaća distribucijsku mrežu od mjernog mjesta Mandriol, gdje se preuzima voda iz sustava Gradole od IVB duž zapadnog dijela Istarskog poluotoka do grada Pule uključujući i bunar Tivoli;</w:t>
      </w:r>
    </w:p>
    <w:p w14:paraId="3044CCBF" w14:textId="77777777" w:rsidR="009D190E" w:rsidRPr="009D190E" w:rsidRDefault="009D190E" w:rsidP="0094608E">
      <w:pPr>
        <w:pStyle w:val="Odlomakpopisa"/>
        <w:numPr>
          <w:ilvl w:val="0"/>
          <w:numId w:val="18"/>
        </w:numPr>
        <w:jc w:val="left"/>
      </w:pPr>
      <w:r w:rsidRPr="009D190E">
        <w:t>ZO Butoniga: obuhvaća distribucijsku mrežu od mjernog mjesta Gajana, gdje je mjesto preuzimanja vode iz Vodoopskrbnog sustava Butoniga IVB duž središnjeg dijela Istarskog poluotoka do grada Pule, uključujući i bunar Ševe;</w:t>
      </w:r>
    </w:p>
    <w:p w14:paraId="5A6F9393" w14:textId="77777777" w:rsidR="009D190E" w:rsidRPr="009D190E" w:rsidRDefault="009D190E" w:rsidP="0094608E">
      <w:pPr>
        <w:pStyle w:val="Odlomakpopisa"/>
        <w:numPr>
          <w:ilvl w:val="0"/>
          <w:numId w:val="18"/>
        </w:numPr>
        <w:jc w:val="left"/>
      </w:pPr>
      <w:r w:rsidRPr="009D190E">
        <w:t xml:space="preserve">ZO Monte Šerpo: uključuje vodoopskrbnu nisku i visoku zonu grada Pule, </w:t>
      </w:r>
    </w:p>
    <w:p w14:paraId="057D6697" w14:textId="77777777" w:rsidR="009D190E" w:rsidRPr="009D190E" w:rsidRDefault="009D190E" w:rsidP="0094608E">
      <w:pPr>
        <w:pStyle w:val="Odlomakpopisa"/>
        <w:numPr>
          <w:ilvl w:val="0"/>
          <w:numId w:val="18"/>
        </w:numPr>
        <w:jc w:val="left"/>
      </w:pPr>
      <w:r w:rsidRPr="009D190E">
        <w:t xml:space="preserve">ZO Pulskih bunara: obuhvaća područja bunara Šišan, Jadreški, Campanož, Lokvere, Škatari, Fojbon, te Valdragon 3,4 i 5. </w:t>
      </w:r>
    </w:p>
    <w:p w14:paraId="36D56FD2" w14:textId="77777777" w:rsidR="009D190E" w:rsidRPr="009D190E" w:rsidRDefault="009D190E" w:rsidP="009D190E">
      <w:r w:rsidRPr="009D190E">
        <w:lastRenderedPageBreak/>
        <w:t xml:space="preserve">U svim zonama opskrbe moguće je miješanje vode iz drugih opskrbnih zona, stoga voda po sastavu može biti mješavina dviju pa i više sustava. </w:t>
      </w:r>
    </w:p>
    <w:p w14:paraId="352F9146" w14:textId="77777777" w:rsidR="009D190E" w:rsidRPr="009D190E" w:rsidRDefault="009D190E" w:rsidP="009D190E"/>
    <w:p w14:paraId="7CE4F6EE" w14:textId="77777777" w:rsidR="009D190E" w:rsidRPr="009D190E" w:rsidRDefault="009D190E" w:rsidP="009D190E">
      <w:r w:rsidRPr="009D190E">
        <w:t>Vodovod ima vlastiti laboratorij za dnevno ispitivanje kvalitete vode za piće.</w:t>
      </w:r>
    </w:p>
    <w:p w14:paraId="76E1F3C1" w14:textId="77777777" w:rsidR="009D190E" w:rsidRPr="009D190E" w:rsidRDefault="009D190E" w:rsidP="009D190E">
      <w:pPr>
        <w:rPr>
          <w:b/>
        </w:rPr>
      </w:pPr>
    </w:p>
    <w:p w14:paraId="55513783" w14:textId="77777777" w:rsidR="009D190E" w:rsidRPr="009D190E" w:rsidRDefault="009D190E" w:rsidP="0094608E">
      <w:pPr>
        <w:numPr>
          <w:ilvl w:val="0"/>
          <w:numId w:val="3"/>
        </w:numPr>
        <w:ind w:left="720"/>
        <w:rPr>
          <w:b/>
        </w:rPr>
      </w:pPr>
      <w:r w:rsidRPr="009D190E">
        <w:rPr>
          <w:b/>
        </w:rPr>
        <w:t xml:space="preserve">Zahvaćena i crpljena voda </w:t>
      </w:r>
    </w:p>
    <w:p w14:paraId="27CB74EF" w14:textId="77777777" w:rsidR="009D190E" w:rsidRPr="009D190E" w:rsidRDefault="009D190E" w:rsidP="009D190E">
      <w:pPr>
        <w:rPr>
          <w:color w:val="FF0000"/>
        </w:rPr>
      </w:pPr>
    </w:p>
    <w:p w14:paraId="4351AE38" w14:textId="77777777" w:rsidR="009D190E" w:rsidRPr="009D190E" w:rsidRDefault="009D190E" w:rsidP="009D190E">
      <w:r w:rsidRPr="009D190E">
        <w:t>U 2024. godini zahvaćeno je i crpljeno 9,1 milijuna m</w:t>
      </w:r>
      <w:r w:rsidRPr="009D190E">
        <w:rPr>
          <w:vertAlign w:val="superscript"/>
        </w:rPr>
        <w:t>3</w:t>
      </w:r>
      <w:r w:rsidRPr="009D190E">
        <w:t xml:space="preserve"> vode, odnosno za 2,1% više u odnosu na 2023. godinu. </w:t>
      </w:r>
    </w:p>
    <w:p w14:paraId="2F95796E" w14:textId="77777777" w:rsidR="009D190E" w:rsidRPr="009D190E" w:rsidRDefault="009D190E" w:rsidP="009D190E"/>
    <w:p w14:paraId="146037B2" w14:textId="77777777" w:rsidR="009D190E" w:rsidRPr="009D190E" w:rsidRDefault="009D190E" w:rsidP="009D190E">
      <w:r w:rsidRPr="009D190E">
        <w:t>Udio crpljene vode iz Pogona Pula iznosi 15,8%,  Pogona Rakonek 42,6%, Akumulacije Butoniga 19,0% i Vodovoda Gradole 23,3% od ukupno zahvaćene i crpljene vode u 2024. godini. Za ispiranje mreže utrošeno je u 2024. godini 57.149 m</w:t>
      </w:r>
      <w:r w:rsidRPr="009D190E">
        <w:rPr>
          <w:vertAlign w:val="superscript"/>
        </w:rPr>
        <w:t>3</w:t>
      </w:r>
      <w:r w:rsidRPr="009D190E">
        <w:t xml:space="preserve"> vode.</w:t>
      </w:r>
    </w:p>
    <w:p w14:paraId="4A456D1F" w14:textId="77777777" w:rsidR="009D190E" w:rsidRPr="009D190E" w:rsidRDefault="009D190E" w:rsidP="009D190E">
      <w:pPr>
        <w:rPr>
          <w:color w:val="FF0000"/>
        </w:rPr>
      </w:pPr>
    </w:p>
    <w:p w14:paraId="647826B6" w14:textId="77777777" w:rsidR="009D190E" w:rsidRPr="009D190E" w:rsidRDefault="009D190E" w:rsidP="0094608E">
      <w:pPr>
        <w:numPr>
          <w:ilvl w:val="0"/>
          <w:numId w:val="3"/>
        </w:numPr>
        <w:ind w:left="720"/>
        <w:rPr>
          <w:b/>
        </w:rPr>
      </w:pPr>
      <w:r w:rsidRPr="009D190E">
        <w:rPr>
          <w:b/>
        </w:rPr>
        <w:t xml:space="preserve">Gubitak vode </w:t>
      </w:r>
    </w:p>
    <w:p w14:paraId="7071F5E5" w14:textId="77777777" w:rsidR="009D190E" w:rsidRPr="009D190E" w:rsidRDefault="009D190E" w:rsidP="009D190E"/>
    <w:p w14:paraId="5EF353F7" w14:textId="77777777" w:rsidR="009D190E" w:rsidRPr="009D190E" w:rsidRDefault="009D190E" w:rsidP="009D190E">
      <w:r w:rsidRPr="009D190E">
        <w:t>Gubitak vode u 2024. godini iznosi 1,4 milijuna m</w:t>
      </w:r>
      <w:r w:rsidRPr="009D190E">
        <w:rPr>
          <w:vertAlign w:val="superscript"/>
        </w:rPr>
        <w:t>3</w:t>
      </w:r>
      <w:r w:rsidRPr="009D190E">
        <w:t xml:space="preserve"> vode, odnosno 15,9% zahvaćene i crpljene vode. U 2023. godini gubitak je iznosio 1,5 milijuna m</w:t>
      </w:r>
      <w:r w:rsidRPr="009D190E">
        <w:rPr>
          <w:vertAlign w:val="superscript"/>
        </w:rPr>
        <w:t>3</w:t>
      </w:r>
      <w:r w:rsidRPr="009D190E">
        <w:t xml:space="preserve"> vode, u postotku 16,9% zahvaćene i crpljene vode.</w:t>
      </w:r>
    </w:p>
    <w:p w14:paraId="37E91BA6" w14:textId="77777777" w:rsidR="009D190E" w:rsidRPr="009D190E" w:rsidRDefault="009D190E" w:rsidP="009D190E">
      <w:pPr>
        <w:rPr>
          <w:color w:val="FF0000"/>
        </w:rPr>
      </w:pPr>
    </w:p>
    <w:p w14:paraId="04D67EE2" w14:textId="77777777" w:rsidR="009D190E" w:rsidRPr="009D190E" w:rsidRDefault="009D190E" w:rsidP="0094608E">
      <w:pPr>
        <w:numPr>
          <w:ilvl w:val="0"/>
          <w:numId w:val="3"/>
        </w:numPr>
        <w:ind w:left="720"/>
        <w:rPr>
          <w:b/>
        </w:rPr>
      </w:pPr>
      <w:r w:rsidRPr="009D190E">
        <w:rPr>
          <w:b/>
        </w:rPr>
        <w:t>Isporuka vode</w:t>
      </w:r>
    </w:p>
    <w:p w14:paraId="33CE53D5" w14:textId="77777777" w:rsidR="009D190E" w:rsidRPr="009D190E" w:rsidRDefault="009D190E" w:rsidP="009D190E"/>
    <w:p w14:paraId="0D72E0E8" w14:textId="77777777" w:rsidR="009D190E" w:rsidRPr="009D190E" w:rsidRDefault="009D190E" w:rsidP="009D190E">
      <w:r w:rsidRPr="009D190E">
        <w:t>Korisnicima vodnih usluga je u 2024. godini isporučeno 7,6 milijuna m</w:t>
      </w:r>
      <w:r w:rsidRPr="009D190E">
        <w:rPr>
          <w:vertAlign w:val="superscript"/>
        </w:rPr>
        <w:t>3</w:t>
      </w:r>
      <w:r w:rsidRPr="009D190E">
        <w:t xml:space="preserve"> vode, odnosno 3,2% više nego 2023. godine. Povećanje isporuke vode u 2024. godini za stambene prostore iznosilo je 2,6%, a za poslovne korisnike 7,2%.</w:t>
      </w:r>
    </w:p>
    <w:p w14:paraId="0B2AE58C" w14:textId="77777777" w:rsidR="009D190E" w:rsidRPr="009D190E" w:rsidRDefault="009D190E" w:rsidP="009D190E"/>
    <w:p w14:paraId="07B4E75B" w14:textId="77777777" w:rsidR="009D190E" w:rsidRPr="009D190E" w:rsidRDefault="009D190E" w:rsidP="009D190E">
      <w:r w:rsidRPr="009D190E">
        <w:t xml:space="preserve">Od ukupno isporučene količine vode,  69,7% je isporučeno korisnicima u stambenim prostorima, 28,3% korisnicima u poslovnim prostorima, 1,3% korisnicima priključaka za navodnjavanje i poljoprivredu, urbane vrtove i javnu zelenu površinu u vlasništvu JLS te 0,5% drugim javnim isporučiteljima vodnih usluga, odnosno Vodovodu Labin d.o.o. i Istarskom vodovodu d.o.o. Buzet. Vlastita potrošnja, koja se prati u okviru poslovnih prostora,  iznosi 0,6% od ukupne količine isporučene vode i veća je u odnosu na prethodnu godinu uslijed potrošnje vode u procesu </w:t>
      </w:r>
      <w:bookmarkStart w:id="0" w:name="_Hlk195612499"/>
      <w:r w:rsidRPr="009D190E">
        <w:t>pročišćavanja otpadnih voda, za ispiranje finih sita na uređajima za pročišćavanje vode</w:t>
      </w:r>
      <w:bookmarkEnd w:id="0"/>
      <w:r w:rsidRPr="009D190E">
        <w:t>.</w:t>
      </w:r>
    </w:p>
    <w:p w14:paraId="421C4A14" w14:textId="77777777" w:rsidR="009D190E" w:rsidRPr="009D190E" w:rsidRDefault="009D190E" w:rsidP="009D190E"/>
    <w:p w14:paraId="5252A7B3" w14:textId="77777777" w:rsidR="009D190E" w:rsidRPr="009D190E" w:rsidRDefault="009D190E" w:rsidP="0094608E">
      <w:pPr>
        <w:numPr>
          <w:ilvl w:val="0"/>
          <w:numId w:val="3"/>
        </w:numPr>
        <w:ind w:left="720"/>
        <w:rPr>
          <w:b/>
        </w:rPr>
      </w:pPr>
      <w:r w:rsidRPr="009D190E">
        <w:rPr>
          <w:b/>
        </w:rPr>
        <w:t>Količina isporučene vode</w:t>
      </w:r>
    </w:p>
    <w:p w14:paraId="47F84DFA" w14:textId="77777777" w:rsidR="009D190E" w:rsidRPr="009D190E" w:rsidRDefault="009D190E" w:rsidP="009D190E">
      <w:pPr>
        <w:rPr>
          <w:color w:val="FF0000"/>
        </w:rPr>
      </w:pPr>
    </w:p>
    <w:p w14:paraId="1BD44265" w14:textId="77777777" w:rsidR="009D190E" w:rsidRPr="009D190E" w:rsidRDefault="009D190E" w:rsidP="009D190E">
      <w:r w:rsidRPr="009D190E">
        <w:t xml:space="preserve">U 2024. godini količina raspoložive vode bila je dostatna u odnosu na potražnju usprkos razlici u sezonskoj i vansezonskoj potrošnji koja se kreće gotovo do omjera 3:1. Ovo je ujedno i veliko financijsko i organizaciono opterećenje vodoopskrbe područja na kojemu Društvo djeluje. </w:t>
      </w:r>
    </w:p>
    <w:p w14:paraId="3903D69D" w14:textId="77777777" w:rsidR="009D190E" w:rsidRPr="009D190E" w:rsidRDefault="009D190E" w:rsidP="009D190E"/>
    <w:p w14:paraId="634D082B" w14:textId="77777777" w:rsidR="009D190E" w:rsidRPr="009D190E" w:rsidRDefault="009D190E" w:rsidP="009D190E">
      <w:r w:rsidRPr="009D190E">
        <w:t>Isporuka vode u 2024. godini bila je redovita.</w:t>
      </w:r>
    </w:p>
    <w:p w14:paraId="1D3F503C" w14:textId="77777777" w:rsidR="009D190E" w:rsidRPr="009D190E" w:rsidRDefault="009D190E" w:rsidP="009D190E"/>
    <w:p w14:paraId="20F5D5E1" w14:textId="77777777" w:rsidR="009D190E" w:rsidRPr="009D190E" w:rsidRDefault="009D190E" w:rsidP="009D190E">
      <w:pPr>
        <w:rPr>
          <w:b/>
          <w:bCs/>
          <w:i/>
          <w:iCs/>
          <w:highlight w:val="yellow"/>
        </w:rPr>
      </w:pPr>
    </w:p>
    <w:p w14:paraId="121AE88A" w14:textId="77777777" w:rsidR="009D190E" w:rsidRPr="009D190E" w:rsidRDefault="009D190E" w:rsidP="0094608E">
      <w:pPr>
        <w:numPr>
          <w:ilvl w:val="0"/>
          <w:numId w:val="3"/>
        </w:numPr>
        <w:ind w:left="720"/>
        <w:rPr>
          <w:b/>
        </w:rPr>
      </w:pPr>
      <w:bookmarkStart w:id="1" w:name="_Hlk195595623"/>
      <w:r w:rsidRPr="009D190E">
        <w:rPr>
          <w:b/>
        </w:rPr>
        <w:t xml:space="preserve">Kvaliteta vode za ljudsku potrošnju </w:t>
      </w:r>
    </w:p>
    <w:p w14:paraId="2D57BAC5" w14:textId="77777777" w:rsidR="009D190E" w:rsidRPr="009D190E" w:rsidRDefault="009D190E" w:rsidP="009D190E">
      <w:pPr>
        <w:rPr>
          <w:b/>
          <w:highlight w:val="yellow"/>
        </w:rPr>
      </w:pPr>
    </w:p>
    <w:p w14:paraId="19A4D9BB" w14:textId="7251E0D1" w:rsidR="009D190E" w:rsidRPr="009D190E" w:rsidRDefault="009D190E" w:rsidP="009D190E">
      <w:pPr>
        <w:tabs>
          <w:tab w:val="num" w:pos="709"/>
        </w:tabs>
      </w:pPr>
      <w:r w:rsidRPr="009D190E">
        <w:t>Interni ovlašteni laboratorij Vodovoda Pula</w:t>
      </w:r>
      <w:r w:rsidR="007650B8">
        <w:t>-Labin d.o.o. (ex: Vodovod Pula d.o.o.)</w:t>
      </w:r>
      <w:r w:rsidRPr="009D190E">
        <w:t xml:space="preserve"> kontrolira kvalitetu vode iz vodoopskrbnog sustava planiranim godišnjem uzorkovanjem i izvanredno prema potrebi. </w:t>
      </w:r>
    </w:p>
    <w:p w14:paraId="64419D51" w14:textId="77777777" w:rsidR="009D190E" w:rsidRPr="009D190E" w:rsidRDefault="009D190E" w:rsidP="009D190E">
      <w:pPr>
        <w:tabs>
          <w:tab w:val="num" w:pos="709"/>
        </w:tabs>
      </w:pPr>
    </w:p>
    <w:p w14:paraId="443D2A15" w14:textId="77777777" w:rsidR="009D190E" w:rsidRPr="009D190E" w:rsidRDefault="009D190E" w:rsidP="009D190E">
      <w:pPr>
        <w:tabs>
          <w:tab w:val="num" w:pos="709"/>
        </w:tabs>
      </w:pPr>
      <w:r w:rsidRPr="009D190E">
        <w:t>Ispitivanja vode provode se uzorkovanjem i ispitivanjem uzoraka iz svih dijelova vodoopskrbe. Prirodne-sirove vode izvorišta koji se koriste u vodoopskrbi ispituju se jednom tjedno, dok se isporučena voda za ljudsku potrošnju kontrolira iz magistralnih cjevovoda, vodoopskrbnih objekata i vodovodne mreže svakodnevno na različitim kontrolnim mjestima.</w:t>
      </w:r>
    </w:p>
    <w:p w14:paraId="7984328E" w14:textId="77777777" w:rsidR="009D190E" w:rsidRPr="009D190E" w:rsidRDefault="009D190E" w:rsidP="009D190E">
      <w:pPr>
        <w:tabs>
          <w:tab w:val="num" w:pos="426"/>
        </w:tabs>
        <w:rPr>
          <w:rFonts w:cstheme="minorHAnsi"/>
          <w:bCs/>
        </w:rPr>
      </w:pPr>
    </w:p>
    <w:p w14:paraId="5F946400" w14:textId="77777777" w:rsidR="009D190E" w:rsidRPr="009D190E" w:rsidRDefault="009D190E" w:rsidP="009D190E">
      <w:r w:rsidRPr="009D190E">
        <w:t>U 2024. godini ukupno je ispitano 3.510 uzoraka vode, od toga:</w:t>
      </w:r>
    </w:p>
    <w:p w14:paraId="5ACD3BED" w14:textId="77777777" w:rsidR="009D190E" w:rsidRPr="009D190E" w:rsidRDefault="009D190E" w:rsidP="0094608E">
      <w:pPr>
        <w:pStyle w:val="Odlomakpopisa"/>
        <w:numPr>
          <w:ilvl w:val="0"/>
          <w:numId w:val="8"/>
        </w:numPr>
        <w:ind w:left="709" w:hanging="283"/>
        <w:contextualSpacing w:val="0"/>
      </w:pPr>
      <w:r w:rsidRPr="009D190E">
        <w:t xml:space="preserve">438 uzoraka prirodne neprerađene vode i vode iz tehnološkog procesa prerade ispitano je iz izvorišta Rakonek i bunara. </w:t>
      </w:r>
    </w:p>
    <w:p w14:paraId="0E80CA78" w14:textId="77777777" w:rsidR="009D190E" w:rsidRPr="009D190E" w:rsidRDefault="009D190E" w:rsidP="0094608E">
      <w:pPr>
        <w:pStyle w:val="Odlomakpopisa"/>
        <w:numPr>
          <w:ilvl w:val="0"/>
          <w:numId w:val="8"/>
        </w:numPr>
        <w:ind w:left="709" w:hanging="283"/>
        <w:contextualSpacing w:val="0"/>
      </w:pPr>
      <w:r w:rsidRPr="009D190E">
        <w:t>3.072  uzorka prerađene vode za ljudsku potrošnju ispitano je iz glavnih magistralnih cjevovoda, vodoopskrbnih objekata i vodovodne mreže.</w:t>
      </w:r>
    </w:p>
    <w:p w14:paraId="7DE40920" w14:textId="77777777" w:rsidR="009D190E" w:rsidRPr="009D190E" w:rsidRDefault="009D190E" w:rsidP="009D190E"/>
    <w:p w14:paraId="303EFEEC" w14:textId="77777777" w:rsidR="009D190E" w:rsidRPr="009D190E" w:rsidRDefault="009D190E" w:rsidP="009D190E">
      <w:pPr>
        <w:rPr>
          <w:color w:val="1F497D"/>
        </w:rPr>
      </w:pPr>
      <w:r w:rsidRPr="009D190E">
        <w:t>Rezultati ispitivanja uzoraka u 2024. godini potvrđuju sukladnost svih uzoraka prerađene vode, sukladno propisanim uvjetima Pravilnika o parametrima sukladnosti, metodama analiza i monitorinzima vode namijenjene za ljudsku potrošnju (NN 64/23, NN 88/23).</w:t>
      </w:r>
    </w:p>
    <w:p w14:paraId="7BC66598" w14:textId="75DA68AE" w:rsidR="009D190E" w:rsidRPr="009D190E" w:rsidRDefault="009D190E" w:rsidP="009D190E">
      <w:pPr>
        <w:spacing w:before="240"/>
        <w:rPr>
          <w:rFonts w:cstheme="minorHAnsi"/>
          <w:bCs/>
        </w:rPr>
      </w:pPr>
      <w:r w:rsidRPr="009D190E">
        <w:rPr>
          <w:rFonts w:cstheme="minorHAnsi"/>
          <w:bCs/>
        </w:rPr>
        <w:t>Na svojim web stranicama Interni laboratorij Vodovoda Pula</w:t>
      </w:r>
      <w:r w:rsidR="007650B8">
        <w:rPr>
          <w:rFonts w:cstheme="minorHAnsi"/>
          <w:bCs/>
        </w:rPr>
        <w:t>-Labin d.o.o. (ex: Vodovod Pula d.o.o.)</w:t>
      </w:r>
      <w:r w:rsidRPr="009D190E">
        <w:rPr>
          <w:rFonts w:cstheme="minorHAnsi"/>
          <w:bCs/>
        </w:rPr>
        <w:t xml:space="preserve"> objavljuje mjesečno rezultate  ispitivanja pojedinih parametara u vodi za ljudsku potrošnju za vodocrpilišta i vodovodnu mrežu.</w:t>
      </w:r>
    </w:p>
    <w:p w14:paraId="05346B76" w14:textId="77777777" w:rsidR="009D190E" w:rsidRPr="009D190E" w:rsidRDefault="009D190E" w:rsidP="009D190E">
      <w:pPr>
        <w:tabs>
          <w:tab w:val="num" w:pos="720"/>
        </w:tabs>
        <w:rPr>
          <w:rFonts w:cstheme="minorHAnsi"/>
          <w:bCs/>
        </w:rPr>
      </w:pPr>
      <w:r w:rsidRPr="009D190E">
        <w:rPr>
          <w:rFonts w:cstheme="minorHAnsi"/>
          <w:bCs/>
        </w:rPr>
        <w:t>Osim internog ovlaštenog laboratorija stalni nadzor nad vodoopskrbom Društva provode još ovlašteni i akreditirani laboratoriji Nastavnog zavoda za javno zdravstvo Istarske županije i Hrvatskog zavoda za javno zdravstvo monitoringom sirovih voda crpilišta i monitoringom vode za ljudsku potrošnju.</w:t>
      </w:r>
    </w:p>
    <w:p w14:paraId="470B4F6E" w14:textId="77777777" w:rsidR="009D190E" w:rsidRPr="009D190E" w:rsidRDefault="009D190E" w:rsidP="009D190E">
      <w:pPr>
        <w:rPr>
          <w:rFonts w:cstheme="minorHAnsi"/>
          <w:bCs/>
        </w:rPr>
      </w:pPr>
    </w:p>
    <w:p w14:paraId="17F30655" w14:textId="5C457E23" w:rsidR="009D190E" w:rsidRPr="009D190E" w:rsidRDefault="009D190E" w:rsidP="009D190E">
      <w:pPr>
        <w:rPr>
          <w:rFonts w:cstheme="minorHAnsi"/>
          <w:bCs/>
        </w:rPr>
      </w:pPr>
      <w:r w:rsidRPr="009D190E">
        <w:rPr>
          <w:rFonts w:cstheme="minorHAnsi"/>
          <w:bCs/>
        </w:rPr>
        <w:t>Sukladno Zakonu o vodi za ljudsku potrošnju, u 2023. godini osnovan je Tim za izradu Plana sigurnosti vode, sustav samokontrole utemeljen na procjeni rizika i upravljanja rizikom za sustav opskrbe, čiji su članovi izradili dokumentaciju i implementirali u sustav. Nakon održanog audita dana 29.2.2024. u prostorijama Vodovoda Pula</w:t>
      </w:r>
      <w:r w:rsidR="007650B8">
        <w:rPr>
          <w:rFonts w:cstheme="minorHAnsi"/>
          <w:bCs/>
        </w:rPr>
        <w:t>-Labin</w:t>
      </w:r>
      <w:r w:rsidRPr="009D190E">
        <w:rPr>
          <w:rFonts w:cstheme="minorHAnsi"/>
          <w:bCs/>
        </w:rPr>
        <w:t xml:space="preserve"> d.o.o.</w:t>
      </w:r>
      <w:r w:rsidR="007650B8">
        <w:rPr>
          <w:rFonts w:cstheme="minorHAnsi"/>
          <w:bCs/>
        </w:rPr>
        <w:t xml:space="preserve"> (ex: Vodovod Pula d.o.o.)</w:t>
      </w:r>
      <w:r w:rsidRPr="009D190E">
        <w:rPr>
          <w:rFonts w:cstheme="minorHAnsi"/>
          <w:bCs/>
        </w:rPr>
        <w:t xml:space="preserve"> i na objektima važnim za vodoopskrbu od strane Hrvatskog zavoda za javno zdravstvo, dana 09.07.2024. izdano je Rješenje kojim se odobrava Plan sigurnosti vode. </w:t>
      </w:r>
    </w:p>
    <w:p w14:paraId="61469669" w14:textId="77777777" w:rsidR="009D190E" w:rsidRPr="009D190E" w:rsidRDefault="009D190E" w:rsidP="009D190E">
      <w:pPr>
        <w:rPr>
          <w:rFonts w:cstheme="minorHAnsi"/>
          <w:bCs/>
        </w:rPr>
      </w:pPr>
    </w:p>
    <w:p w14:paraId="6C052870" w14:textId="77777777" w:rsidR="009D190E" w:rsidRPr="009D190E" w:rsidRDefault="009D190E" w:rsidP="009D190E">
      <w:pPr>
        <w:rPr>
          <w:rFonts w:cstheme="minorHAnsi"/>
          <w:bCs/>
        </w:rPr>
      </w:pPr>
      <w:r w:rsidRPr="009D190E">
        <w:rPr>
          <w:rFonts w:cstheme="minorHAnsi"/>
          <w:bCs/>
        </w:rPr>
        <w:t>Također, sukladno Zakonu o vodi za ljudsku potrošnju u 2024. godini predan je zahtjev Ministarstvu zdravstva za ovlaštenje internog laboratorija od strane Stručnog povjerenstva koji je obavio pregled internog laboratorija dana 28.10.2024. godine. Na temelju mišljenja i pregleda internog laboratorija dana 15.01.2025. izdano je Rješenje kojim se utvrđuje da Laboratorijsko tehnološki odjel, koji posluje u sklopu isporučitelja vode, ispunjava uvjete internog laboratorija za ispitivanje vode namijenjene za ljudsku potrošnju svrhu ispitivanja zdravstvene ispravnosti vode namijenjene za ljudsku potrošnju za vlastite potrebe.</w:t>
      </w:r>
      <w:bookmarkEnd w:id="1"/>
    </w:p>
    <w:p w14:paraId="1CED38EA" w14:textId="77777777" w:rsidR="009D190E" w:rsidRPr="009D190E" w:rsidRDefault="009D190E" w:rsidP="009D190E">
      <w:pPr>
        <w:rPr>
          <w:b/>
        </w:rPr>
      </w:pPr>
    </w:p>
    <w:p w14:paraId="53AD35F5" w14:textId="77777777" w:rsidR="009D190E" w:rsidRPr="009D190E" w:rsidRDefault="009D190E" w:rsidP="009D190E">
      <w:pPr>
        <w:rPr>
          <w:b/>
          <w:bCs/>
        </w:rPr>
      </w:pPr>
    </w:p>
    <w:p w14:paraId="36FBE6C0" w14:textId="77777777" w:rsidR="009D190E" w:rsidRPr="009D190E" w:rsidRDefault="009D190E" w:rsidP="009D190E">
      <w:pPr>
        <w:spacing w:after="200"/>
        <w:rPr>
          <w:b/>
          <w:bCs/>
        </w:rPr>
      </w:pPr>
      <w:r w:rsidRPr="009D190E">
        <w:rPr>
          <w:b/>
          <w:bCs/>
        </w:rPr>
        <w:br w:type="page"/>
      </w:r>
    </w:p>
    <w:p w14:paraId="78D0190E" w14:textId="77777777" w:rsidR="009D190E" w:rsidRPr="009D190E" w:rsidRDefault="009D190E" w:rsidP="009D190E">
      <w:pPr>
        <w:rPr>
          <w:b/>
          <w:bCs/>
        </w:rPr>
      </w:pPr>
      <w:r w:rsidRPr="009D190E">
        <w:rPr>
          <w:b/>
          <w:bCs/>
        </w:rPr>
        <w:lastRenderedPageBreak/>
        <w:t>ODVODNJA OTPADNIH VODA</w:t>
      </w:r>
    </w:p>
    <w:p w14:paraId="625E2EF6" w14:textId="77777777" w:rsidR="009D190E" w:rsidRPr="009D190E" w:rsidRDefault="009D190E" w:rsidP="009D190E">
      <w:pPr>
        <w:rPr>
          <w:b/>
          <w:bCs/>
        </w:rPr>
      </w:pPr>
    </w:p>
    <w:p w14:paraId="523C7D64" w14:textId="77777777" w:rsidR="009D190E" w:rsidRPr="009D190E" w:rsidRDefault="009D190E" w:rsidP="009D190E">
      <w:r w:rsidRPr="009D190E">
        <w:t>Od 01.06.2023. godine nakon pripajanja društva Pragrande d.o.o. društvo obavlja i djelatnost javne odvodnje, odnosno bavi se skupljanjem komunalnih otpadnih voda, njihovim pročišćavanjem i ispuštanjem u prirodni prijamnik putem građevina za javnu odvodnju, te upravljanjem tim građevinama, zatim djelatnosti pražnjenja i odvoza komunalnih otpadnih voda iz individualnih sustava, te održavanjem sustava oborinske odvodnje.</w:t>
      </w:r>
    </w:p>
    <w:p w14:paraId="75A33FFD" w14:textId="77777777" w:rsidR="009D190E" w:rsidRPr="009D190E" w:rsidRDefault="009D190E" w:rsidP="009D190E">
      <w:pPr>
        <w:pStyle w:val="Odlomakpopisa"/>
        <w:ind w:left="360"/>
        <w:rPr>
          <w:highlight w:val="darkYellow"/>
        </w:rPr>
      </w:pPr>
    </w:p>
    <w:p w14:paraId="12DAC4E0" w14:textId="6489E295" w:rsidR="009D190E" w:rsidRPr="009D190E" w:rsidRDefault="009D190E" w:rsidP="009D190E">
      <w:r w:rsidRPr="009D190E">
        <w:t>Sustav odvodnje otpadnih voda sastoji se od dvije aglomeracije: Pula Sjever i Pula Centar koju čine tehnološki povezan skup građevina, vodova i opreme za odvodnju i pročišćavanje sanitarnih otpadnih voda. Vodovod Pula</w:t>
      </w:r>
      <w:r w:rsidR="007C25FB">
        <w:t>-Labin</w:t>
      </w:r>
      <w:r w:rsidRPr="009D190E">
        <w:t xml:space="preserve"> d.o.o.</w:t>
      </w:r>
      <w:r w:rsidR="007C25FB">
        <w:t xml:space="preserve"> (ex: Vodovod Pula d.o.o.)</w:t>
      </w:r>
      <w:r w:rsidRPr="009D190E">
        <w:t xml:space="preserve"> upravlja sustavom odvodnje koju čine tri  UPOV-a, Valkane, Peroj i Monumenti,  33 crpnih stanice, te mreža vodova odvodnje dužine 550 km koji su povezani centralnim upravljanje monitoringom promatranja rada, kakvoće i količina prema utvrđenom obrascu. </w:t>
      </w:r>
    </w:p>
    <w:p w14:paraId="6DBF7181" w14:textId="77777777" w:rsidR="009D190E" w:rsidRPr="009D190E" w:rsidRDefault="009D190E" w:rsidP="009D190E">
      <w:pPr>
        <w:pStyle w:val="Odlomakpopisa"/>
      </w:pPr>
    </w:p>
    <w:p w14:paraId="6472618A" w14:textId="77777777" w:rsidR="009D190E" w:rsidRPr="009D190E" w:rsidRDefault="009D190E" w:rsidP="009D190E">
      <w:r w:rsidRPr="009D190E">
        <w:t>Društvo obavlja djelatnost javne odvodnje na području grada Pule i grada Vodnjana, te općine Fažana i naselju Pješčana uvala (općina Medulin).</w:t>
      </w:r>
    </w:p>
    <w:p w14:paraId="1314D8C2" w14:textId="77777777" w:rsidR="009D190E" w:rsidRPr="009D190E" w:rsidRDefault="009D190E" w:rsidP="009D190E"/>
    <w:p w14:paraId="21CC33FD" w14:textId="77777777" w:rsidR="009D190E" w:rsidRPr="009D190E" w:rsidRDefault="009D190E" w:rsidP="0094608E">
      <w:pPr>
        <w:numPr>
          <w:ilvl w:val="0"/>
          <w:numId w:val="3"/>
        </w:numPr>
        <w:ind w:left="720"/>
        <w:rPr>
          <w:b/>
        </w:rPr>
      </w:pPr>
      <w:r w:rsidRPr="009D190E">
        <w:rPr>
          <w:b/>
        </w:rPr>
        <w:t>Ispuštena voda u kanalizacijski sustav i ispumpane otpadne vode</w:t>
      </w:r>
    </w:p>
    <w:p w14:paraId="31F33C84" w14:textId="77777777" w:rsidR="009D190E" w:rsidRPr="009D190E" w:rsidRDefault="009D190E" w:rsidP="009D190E">
      <w:pPr>
        <w:pStyle w:val="Odlomakpopisa"/>
      </w:pPr>
    </w:p>
    <w:p w14:paraId="5B6551FE" w14:textId="77777777" w:rsidR="009D190E" w:rsidRPr="009D190E" w:rsidRDefault="009D190E" w:rsidP="009D190E">
      <w:r w:rsidRPr="009D190E">
        <w:t>Ukupna ispuštena voda u kanalizacijski sustav u 2024. godini iznosi 4.013.235 m</w:t>
      </w:r>
      <w:r w:rsidRPr="009D190E">
        <w:rPr>
          <w:vertAlign w:val="superscript"/>
        </w:rPr>
        <w:t>3</w:t>
      </w:r>
      <w:r w:rsidRPr="009D190E">
        <w:t>. Od ukupne ispuštene vode 73,7% odnosi se na stambene prostore, a 26,3% odnosi se na poslovne prostore.</w:t>
      </w:r>
    </w:p>
    <w:p w14:paraId="59076666" w14:textId="77777777" w:rsidR="009D190E" w:rsidRPr="009D190E" w:rsidRDefault="009D190E" w:rsidP="009D190E">
      <w:pPr>
        <w:pStyle w:val="Odlomakpopisa"/>
        <w:ind w:left="360"/>
      </w:pPr>
    </w:p>
    <w:p w14:paraId="0BF02AD4" w14:textId="77777777" w:rsidR="009D190E" w:rsidRPr="009D190E" w:rsidRDefault="009D190E" w:rsidP="009D190E">
      <w:r w:rsidRPr="009D190E">
        <w:t>Količina ispumpanih otpadnih voda iz sabirnih jama u 2024. godini iznosi 27.406 m</w:t>
      </w:r>
      <w:r w:rsidRPr="009D190E">
        <w:rPr>
          <w:vertAlign w:val="superscript"/>
        </w:rPr>
        <w:t>3</w:t>
      </w:r>
      <w:r w:rsidRPr="009D190E">
        <w:t>.</w:t>
      </w:r>
    </w:p>
    <w:p w14:paraId="17A7BD57" w14:textId="77777777" w:rsidR="009D190E" w:rsidRPr="009D190E" w:rsidRDefault="009D190E" w:rsidP="009D190E">
      <w:pPr>
        <w:pStyle w:val="Odlomakpopisa"/>
        <w:ind w:left="360"/>
      </w:pPr>
    </w:p>
    <w:p w14:paraId="19178089" w14:textId="77777777" w:rsidR="009D190E" w:rsidRPr="009D190E" w:rsidRDefault="009D190E" w:rsidP="009D190E">
      <w:r w:rsidRPr="009D190E">
        <w:t>Broj korisnika kanalizacijskog sustava na dan 31.12.2024. za kategoriju stambeni prostori iznosi 31.732 korisnika, dok za kategoriju poslovni prostori iznosi 3.705 korisnika.</w:t>
      </w:r>
    </w:p>
    <w:p w14:paraId="35AAB7A6" w14:textId="77777777" w:rsidR="009D190E" w:rsidRPr="009D190E" w:rsidRDefault="009D190E" w:rsidP="009D190E"/>
    <w:p w14:paraId="715437C3" w14:textId="77777777" w:rsidR="009D190E" w:rsidRPr="009D190E" w:rsidRDefault="009D190E" w:rsidP="0094608E">
      <w:pPr>
        <w:numPr>
          <w:ilvl w:val="0"/>
          <w:numId w:val="3"/>
        </w:numPr>
        <w:ind w:left="720"/>
        <w:rPr>
          <w:b/>
        </w:rPr>
      </w:pPr>
      <w:bookmarkStart w:id="2" w:name="_Hlk195595804"/>
      <w:r w:rsidRPr="009D190E">
        <w:rPr>
          <w:b/>
        </w:rPr>
        <w:t xml:space="preserve">Kvaliteta otpadne vode </w:t>
      </w:r>
    </w:p>
    <w:p w14:paraId="46EC3996" w14:textId="77777777" w:rsidR="009D190E" w:rsidRPr="009D190E" w:rsidRDefault="009D190E" w:rsidP="009D190E">
      <w:pPr>
        <w:ind w:left="720"/>
        <w:rPr>
          <w:b/>
        </w:rPr>
      </w:pPr>
    </w:p>
    <w:p w14:paraId="6F6A122C" w14:textId="77777777" w:rsidR="009D190E" w:rsidRPr="009D190E" w:rsidRDefault="009D190E" w:rsidP="009D190E">
      <w:pPr>
        <w:rPr>
          <w:highlight w:val="darkYellow"/>
        </w:rPr>
      </w:pPr>
      <w:r w:rsidRPr="009D190E">
        <w:t>Ispitivanje kvalitete otpadnih voda provodi ovlašteni institut - Bio institut d.o.o. Čakovec sukladno zakonskog regulativi, gdje je u 2024. godini uzeto 47 uzoraka otpadne vode iz sustava javne odvodnje. Ispitivanjem je utvrđeno da su svi uzorci otpadne vode iz sustava javne odvodnje, koje je analizirao neovisan ovlašteni laboratorij, ispravni.</w:t>
      </w:r>
    </w:p>
    <w:bookmarkEnd w:id="2"/>
    <w:p w14:paraId="5348044A" w14:textId="77777777" w:rsidR="009D190E" w:rsidRPr="009D190E" w:rsidRDefault="009D190E" w:rsidP="009D190E"/>
    <w:p w14:paraId="0CD970B7" w14:textId="77777777" w:rsidR="009D190E" w:rsidRPr="009D190E" w:rsidRDefault="009D190E" w:rsidP="009D190E">
      <w:pPr>
        <w:spacing w:after="200"/>
        <w:rPr>
          <w:b/>
        </w:rPr>
      </w:pPr>
      <w:r w:rsidRPr="009D190E">
        <w:rPr>
          <w:b/>
        </w:rPr>
        <w:br w:type="page"/>
      </w:r>
    </w:p>
    <w:p w14:paraId="0CC5CA31" w14:textId="77777777" w:rsidR="009D190E" w:rsidRPr="009D190E" w:rsidRDefault="009D190E" w:rsidP="009D190E">
      <w:pPr>
        <w:pBdr>
          <w:bottom w:val="single" w:sz="4" w:space="1" w:color="333399"/>
        </w:pBdr>
        <w:rPr>
          <w:b/>
        </w:rPr>
      </w:pPr>
      <w:r w:rsidRPr="009D190E">
        <w:rPr>
          <w:b/>
        </w:rPr>
        <w:lastRenderedPageBreak/>
        <w:t>Tarife vodnih usluga</w:t>
      </w:r>
    </w:p>
    <w:p w14:paraId="1AEA65A3" w14:textId="77777777" w:rsidR="009D190E" w:rsidRPr="009D190E" w:rsidRDefault="009D190E" w:rsidP="009D190E">
      <w:pPr>
        <w:rPr>
          <w:bCs/>
        </w:rPr>
      </w:pPr>
    </w:p>
    <w:p w14:paraId="2D49DBA8" w14:textId="1A2E9C2C" w:rsidR="009D190E" w:rsidRPr="009D190E" w:rsidRDefault="009D190E" w:rsidP="009D190E">
      <w:r w:rsidRPr="009D190E">
        <w:t>Od 01.06.2022. godine na snazi je Odluka o cijeni vodnih usluga javne vodoopskrbe broj: 5167/2022. Sukladno Zakonu o uvođenju eura kao službene valute u Republici Hrvatskoj (NN 57/2022), od 05. rujna 2022. godine društvo Vodovod Pula</w:t>
      </w:r>
      <w:r w:rsidR="007C25FB">
        <w:t>-Labin</w:t>
      </w:r>
      <w:r w:rsidRPr="009D190E">
        <w:t xml:space="preserve"> d.o.o.</w:t>
      </w:r>
      <w:r w:rsidR="007C25FB">
        <w:t xml:space="preserve"> (ex: Vodovod Pula d.o.o.)</w:t>
      </w:r>
      <w:r w:rsidRPr="009D190E">
        <w:t xml:space="preserve"> je tarife vodnih usluga  iskazao dvojno u kunama i eurima, s primjenom fiksnog tečaja konverzije (1€ = 7,53450 kn), te 01.01.2023.godine tarife vodnih usluga iskazane su u eurima:</w:t>
      </w:r>
    </w:p>
    <w:p w14:paraId="057C93C7" w14:textId="77777777" w:rsidR="009D190E" w:rsidRPr="009D190E" w:rsidRDefault="009D190E" w:rsidP="009D190E">
      <w:pPr>
        <w:pStyle w:val="Uvuenotijeloteksta"/>
        <w:spacing w:after="0"/>
        <w:ind w:left="0"/>
      </w:pPr>
    </w:p>
    <w:p w14:paraId="173DE14F" w14:textId="77777777" w:rsidR="009D190E" w:rsidRPr="009D190E" w:rsidRDefault="009D190E" w:rsidP="009D190E">
      <w:pPr>
        <w:pStyle w:val="Uvuenotijeloteksta"/>
        <w:spacing w:after="0"/>
        <w:ind w:left="0"/>
      </w:pPr>
      <w:r w:rsidRPr="009D190E">
        <w:t>Tarifa vodnih usluga za korisnike u stambenim prostorima s vodomjerom u nadležnosti isporučitelja usluge:</w:t>
      </w:r>
    </w:p>
    <w:p w14:paraId="3BF94707" w14:textId="77777777" w:rsidR="009D190E" w:rsidRPr="009D190E" w:rsidRDefault="009D190E" w:rsidP="0094608E">
      <w:pPr>
        <w:numPr>
          <w:ilvl w:val="0"/>
          <w:numId w:val="23"/>
        </w:numPr>
      </w:pPr>
      <w:r w:rsidRPr="009D190E">
        <w:t xml:space="preserve">Fiksni dio osnovne cijene vodnih usluga </w:t>
      </w:r>
      <w:r w:rsidRPr="009D190E">
        <w:tab/>
      </w:r>
      <w:r w:rsidRPr="009D190E">
        <w:tab/>
      </w:r>
      <w:r w:rsidRPr="009D190E">
        <w:tab/>
      </w:r>
      <w:r w:rsidRPr="009D190E">
        <w:tab/>
      </w:r>
      <w:r w:rsidRPr="009D190E">
        <w:tab/>
        <w:t xml:space="preserve">          2,39 €/mj.;</w:t>
      </w:r>
    </w:p>
    <w:p w14:paraId="65269B47" w14:textId="77777777" w:rsidR="009D190E" w:rsidRPr="009D190E" w:rsidRDefault="009D190E" w:rsidP="0094608E">
      <w:pPr>
        <w:numPr>
          <w:ilvl w:val="0"/>
          <w:numId w:val="23"/>
        </w:numPr>
      </w:pPr>
      <w:r w:rsidRPr="009D190E">
        <w:t>Osnovna cijena vodne usluge javne vodoopskrbe – varijabilna</w:t>
      </w:r>
      <w:r w:rsidRPr="009D190E">
        <w:tab/>
      </w:r>
      <w:r w:rsidRPr="009D190E">
        <w:tab/>
        <w:t xml:space="preserve">    0,76316 €/ m</w:t>
      </w:r>
      <w:r w:rsidRPr="009D190E">
        <w:rPr>
          <w:vertAlign w:val="superscript"/>
        </w:rPr>
        <w:t>3</w:t>
      </w:r>
      <w:r w:rsidRPr="009D190E">
        <w:t>;</w:t>
      </w:r>
    </w:p>
    <w:p w14:paraId="151FD46D" w14:textId="77777777" w:rsidR="009D190E" w:rsidRPr="009D190E" w:rsidRDefault="009D190E" w:rsidP="0094608E">
      <w:pPr>
        <w:numPr>
          <w:ilvl w:val="0"/>
          <w:numId w:val="23"/>
        </w:numPr>
      </w:pPr>
      <w:r w:rsidRPr="009D190E">
        <w:t xml:space="preserve">Fiksni dio osnovne cijene vodnih usluga za socijalno ugrožene građane </w:t>
      </w:r>
      <w:r w:rsidRPr="009D190E">
        <w:tab/>
        <w:t xml:space="preserve">          1,33 €/mj.;</w:t>
      </w:r>
    </w:p>
    <w:p w14:paraId="01252714" w14:textId="77777777" w:rsidR="009D190E" w:rsidRPr="009D190E" w:rsidRDefault="009D190E" w:rsidP="0094608E">
      <w:pPr>
        <w:numPr>
          <w:ilvl w:val="0"/>
          <w:numId w:val="23"/>
        </w:numPr>
      </w:pPr>
      <w:r w:rsidRPr="009D190E">
        <w:t xml:space="preserve">Osnovna cijena vodne usluge javne vodoopskrbe koji plaćaju socijalno ugroženi građani za količinu isporučene vode nužne za osnovne potrebe kuć. – varijabilna </w:t>
      </w:r>
      <w:r w:rsidRPr="009D190E">
        <w:tab/>
        <w:t xml:space="preserve">     0,45126 €/ m</w:t>
      </w:r>
      <w:r w:rsidRPr="009D190E">
        <w:rPr>
          <w:vertAlign w:val="superscript"/>
        </w:rPr>
        <w:t>3</w:t>
      </w:r>
      <w:r w:rsidRPr="009D190E">
        <w:t>.</w:t>
      </w:r>
    </w:p>
    <w:p w14:paraId="0958D6B4" w14:textId="77777777" w:rsidR="009D190E" w:rsidRPr="009D190E" w:rsidRDefault="009D190E" w:rsidP="009D190E">
      <w:pPr>
        <w:pStyle w:val="Uvuenotijeloteksta"/>
        <w:spacing w:after="0"/>
        <w:ind w:left="0"/>
      </w:pPr>
    </w:p>
    <w:p w14:paraId="30315FDB" w14:textId="77777777" w:rsidR="009D190E" w:rsidRPr="009D190E" w:rsidRDefault="009D190E" w:rsidP="009D190E">
      <w:pPr>
        <w:pStyle w:val="Uvuenotijeloteksta"/>
        <w:spacing w:after="0"/>
        <w:ind w:left="0"/>
      </w:pPr>
      <w:r w:rsidRPr="009D190E">
        <w:t>Tarifa vodnih usluga za korisnike u stambenim prostorima koji nemaju vodomjer u nadležnosti isporučitelja usluge (stambene zgrade samo sa glavnim vodomjerom/obračun se vrši prema broju članova domaćinstva, pomoćnim vodomjerima ili broju stanova):</w:t>
      </w:r>
    </w:p>
    <w:p w14:paraId="713716D4" w14:textId="77777777" w:rsidR="009D190E" w:rsidRPr="009D190E" w:rsidRDefault="009D190E" w:rsidP="0094608E">
      <w:pPr>
        <w:numPr>
          <w:ilvl w:val="0"/>
          <w:numId w:val="24"/>
        </w:numPr>
      </w:pPr>
      <w:r w:rsidRPr="009D190E">
        <w:t xml:space="preserve">Fiksni dio osnovne cijene vodnih usluga </w:t>
      </w:r>
      <w:r w:rsidRPr="009D190E">
        <w:tab/>
      </w:r>
      <w:r w:rsidRPr="009D190E">
        <w:tab/>
      </w:r>
      <w:r w:rsidRPr="009D190E">
        <w:tab/>
      </w:r>
      <w:r w:rsidRPr="009D190E">
        <w:tab/>
      </w:r>
      <w:r w:rsidRPr="009D190E">
        <w:tab/>
        <w:t xml:space="preserve">          1,99 €/mj.;</w:t>
      </w:r>
    </w:p>
    <w:p w14:paraId="6973C966" w14:textId="77777777" w:rsidR="009D190E" w:rsidRPr="009D190E" w:rsidRDefault="009D190E" w:rsidP="0094608E">
      <w:pPr>
        <w:numPr>
          <w:ilvl w:val="0"/>
          <w:numId w:val="24"/>
        </w:numPr>
      </w:pPr>
      <w:r w:rsidRPr="009D190E">
        <w:t>Osnovna cijena vodne usluge javne vodoopskrbe – varijabilna</w:t>
      </w:r>
      <w:r w:rsidRPr="009D190E">
        <w:tab/>
      </w:r>
      <w:r w:rsidRPr="009D190E">
        <w:tab/>
        <w:t xml:space="preserve">    0,76316 €/ m</w:t>
      </w:r>
      <w:r w:rsidRPr="009D190E">
        <w:rPr>
          <w:vertAlign w:val="superscript"/>
        </w:rPr>
        <w:t>3</w:t>
      </w:r>
      <w:r w:rsidRPr="009D190E">
        <w:t>;</w:t>
      </w:r>
    </w:p>
    <w:p w14:paraId="1A023263" w14:textId="77777777" w:rsidR="009D190E" w:rsidRPr="009D190E" w:rsidRDefault="009D190E" w:rsidP="0094608E">
      <w:pPr>
        <w:numPr>
          <w:ilvl w:val="0"/>
          <w:numId w:val="24"/>
        </w:numPr>
      </w:pPr>
      <w:r w:rsidRPr="009D190E">
        <w:t xml:space="preserve">Fiksni dio osnovne cijene vodnih usluga za socijalno ugrožene građane </w:t>
      </w:r>
      <w:r w:rsidRPr="009D190E">
        <w:tab/>
        <w:t xml:space="preserve">          1,19 €/mj.;</w:t>
      </w:r>
    </w:p>
    <w:p w14:paraId="6153BBC2" w14:textId="77777777" w:rsidR="009D190E" w:rsidRPr="009D190E" w:rsidRDefault="009D190E" w:rsidP="0094608E">
      <w:pPr>
        <w:numPr>
          <w:ilvl w:val="0"/>
          <w:numId w:val="24"/>
        </w:numPr>
      </w:pPr>
      <w:r w:rsidRPr="009D190E">
        <w:t xml:space="preserve">Osnovna cijena vodne usluge javne vodoopskrbe koji plaćaju socijalno ugroženi građani za količinu isporučene vode nužne za osnovne potrebe kuć. – varijabilna </w:t>
      </w:r>
      <w:r w:rsidRPr="009D190E">
        <w:tab/>
        <w:t xml:space="preserve">     0,45126 €/ m</w:t>
      </w:r>
      <w:r w:rsidRPr="009D190E">
        <w:rPr>
          <w:vertAlign w:val="superscript"/>
        </w:rPr>
        <w:t>3</w:t>
      </w:r>
      <w:r w:rsidRPr="009D190E">
        <w:t>.</w:t>
      </w:r>
    </w:p>
    <w:p w14:paraId="6456D95E" w14:textId="77777777" w:rsidR="009D190E" w:rsidRPr="009D190E" w:rsidRDefault="009D190E" w:rsidP="009D190E">
      <w:pPr>
        <w:pStyle w:val="Uvuenotijeloteksta"/>
        <w:spacing w:after="0"/>
        <w:ind w:left="0"/>
      </w:pPr>
    </w:p>
    <w:p w14:paraId="72DDC775" w14:textId="77777777" w:rsidR="009D190E" w:rsidRPr="009D190E" w:rsidRDefault="009D190E" w:rsidP="009D190E">
      <w:pPr>
        <w:pStyle w:val="Uvuenotijeloteksta"/>
        <w:spacing w:after="0"/>
        <w:ind w:left="0"/>
      </w:pPr>
      <w:r w:rsidRPr="009D190E">
        <w:t>Tarifa vodnih usluga za korisnike u poslovnim prostorima:</w:t>
      </w:r>
    </w:p>
    <w:p w14:paraId="4139CB51" w14:textId="77777777" w:rsidR="009D190E" w:rsidRPr="009D190E" w:rsidRDefault="009D190E" w:rsidP="0094608E">
      <w:pPr>
        <w:numPr>
          <w:ilvl w:val="0"/>
          <w:numId w:val="25"/>
        </w:numPr>
      </w:pPr>
      <w:r w:rsidRPr="009D190E">
        <w:t xml:space="preserve">Fiksni dio osnovne cijene vodnih usluga </w:t>
      </w:r>
      <w:r w:rsidRPr="009D190E">
        <w:tab/>
      </w:r>
      <w:r w:rsidRPr="009D190E">
        <w:tab/>
      </w:r>
      <w:r w:rsidRPr="009D190E">
        <w:tab/>
      </w:r>
      <w:r w:rsidRPr="009D190E">
        <w:tab/>
      </w:r>
      <w:r w:rsidRPr="009D190E">
        <w:tab/>
        <w:t xml:space="preserve">           4,65 €/mj.;</w:t>
      </w:r>
    </w:p>
    <w:p w14:paraId="6139A6FC" w14:textId="77777777" w:rsidR="009D190E" w:rsidRPr="009D190E" w:rsidRDefault="009D190E" w:rsidP="0094608E">
      <w:pPr>
        <w:numPr>
          <w:ilvl w:val="0"/>
          <w:numId w:val="25"/>
        </w:numPr>
      </w:pPr>
      <w:r w:rsidRPr="009D190E">
        <w:t>Osnovna cijena vodne usluge javne vodoopskrbe – varijabilna</w:t>
      </w:r>
      <w:r w:rsidRPr="009D190E">
        <w:tab/>
      </w:r>
      <w:r w:rsidRPr="009D190E">
        <w:tab/>
        <w:t xml:space="preserve">      1,62055 €/ m</w:t>
      </w:r>
      <w:r w:rsidRPr="009D190E">
        <w:rPr>
          <w:vertAlign w:val="superscript"/>
        </w:rPr>
        <w:t>3</w:t>
      </w:r>
      <w:r w:rsidRPr="009D190E">
        <w:t>.</w:t>
      </w:r>
    </w:p>
    <w:p w14:paraId="7BC7F31A" w14:textId="77777777" w:rsidR="009D190E" w:rsidRPr="009D190E" w:rsidRDefault="009D190E" w:rsidP="009D190E"/>
    <w:p w14:paraId="40C61951" w14:textId="77777777" w:rsidR="009D190E" w:rsidRPr="009D190E" w:rsidRDefault="009D190E" w:rsidP="009D190E">
      <w:r w:rsidRPr="009D190E">
        <w:t>Tarifa vodne usluge za korisnike  priključka za poljoprivredu/navodnjavanje:</w:t>
      </w:r>
    </w:p>
    <w:p w14:paraId="0AC60F6C" w14:textId="77777777" w:rsidR="009D190E" w:rsidRPr="009D190E" w:rsidRDefault="009D190E" w:rsidP="0094608E">
      <w:pPr>
        <w:numPr>
          <w:ilvl w:val="0"/>
          <w:numId w:val="26"/>
        </w:numPr>
      </w:pPr>
      <w:r w:rsidRPr="009D190E">
        <w:t>fiksni dio osnovne cijene vodne usluge</w:t>
      </w:r>
      <w:r w:rsidRPr="009D190E">
        <w:tab/>
      </w:r>
      <w:r w:rsidRPr="009D190E">
        <w:tab/>
      </w:r>
      <w:r w:rsidRPr="009D190E">
        <w:tab/>
      </w:r>
      <w:r w:rsidRPr="009D190E">
        <w:tab/>
      </w:r>
      <w:r w:rsidRPr="009D190E">
        <w:tab/>
      </w:r>
      <w:r w:rsidRPr="009D190E">
        <w:tab/>
        <w:t>2,39 €/mj.;</w:t>
      </w:r>
    </w:p>
    <w:p w14:paraId="6B4A5149" w14:textId="77777777" w:rsidR="009D190E" w:rsidRPr="009D190E" w:rsidRDefault="009D190E" w:rsidP="0094608E">
      <w:pPr>
        <w:numPr>
          <w:ilvl w:val="0"/>
          <w:numId w:val="26"/>
        </w:numPr>
      </w:pPr>
      <w:r w:rsidRPr="009D190E">
        <w:t>varijabilni dio osnovne cijene vodne usluge</w:t>
      </w:r>
      <w:r w:rsidRPr="009D190E">
        <w:tab/>
      </w:r>
      <w:r w:rsidRPr="009D190E">
        <w:tab/>
      </w:r>
      <w:r w:rsidRPr="009D190E">
        <w:tab/>
      </w:r>
      <w:r w:rsidRPr="009D190E">
        <w:tab/>
        <w:t xml:space="preserve">       0,55876 €/m</w:t>
      </w:r>
      <w:r w:rsidRPr="009D190E">
        <w:rPr>
          <w:vertAlign w:val="superscript"/>
        </w:rPr>
        <w:t>3</w:t>
      </w:r>
    </w:p>
    <w:p w14:paraId="1D1D606C" w14:textId="77777777" w:rsidR="009D190E" w:rsidRPr="009D190E" w:rsidRDefault="009D190E" w:rsidP="009D190E"/>
    <w:p w14:paraId="0B08CF4D" w14:textId="77777777" w:rsidR="009D190E" w:rsidRPr="009D190E" w:rsidRDefault="009D190E" w:rsidP="009D190E">
      <w:r w:rsidRPr="009D190E">
        <w:t>Tarifa vodne usluge za  urbane vrtove i javne zelene površine u vlasništvu Jedinice lokalne samouprave:</w:t>
      </w:r>
    </w:p>
    <w:p w14:paraId="6C057C0F" w14:textId="77777777" w:rsidR="009D190E" w:rsidRPr="009D190E" w:rsidRDefault="009D190E" w:rsidP="0094608E">
      <w:pPr>
        <w:numPr>
          <w:ilvl w:val="0"/>
          <w:numId w:val="27"/>
        </w:numPr>
      </w:pPr>
      <w:r w:rsidRPr="009D190E">
        <w:t>fiksni dio osnovne cijene vodne usluge</w:t>
      </w:r>
      <w:r w:rsidRPr="009D190E">
        <w:tab/>
      </w:r>
      <w:r w:rsidRPr="009D190E">
        <w:tab/>
      </w:r>
      <w:r w:rsidRPr="009D190E">
        <w:tab/>
      </w:r>
      <w:r w:rsidRPr="009D190E">
        <w:tab/>
      </w:r>
      <w:r w:rsidRPr="009D190E">
        <w:tab/>
      </w:r>
      <w:r w:rsidRPr="009D190E">
        <w:tab/>
        <w:t>2,39 €/mj.;</w:t>
      </w:r>
    </w:p>
    <w:p w14:paraId="29754968" w14:textId="77777777" w:rsidR="009D190E" w:rsidRPr="009D190E" w:rsidRDefault="009D190E" w:rsidP="0094608E">
      <w:pPr>
        <w:numPr>
          <w:ilvl w:val="0"/>
          <w:numId w:val="27"/>
        </w:numPr>
      </w:pPr>
      <w:r w:rsidRPr="009D190E">
        <w:t>varijabilni dio osnovne cijene vodne usluge</w:t>
      </w:r>
      <w:r w:rsidRPr="009D190E">
        <w:tab/>
      </w:r>
      <w:r w:rsidRPr="009D190E">
        <w:tab/>
      </w:r>
      <w:r w:rsidRPr="009D190E">
        <w:tab/>
      </w:r>
      <w:r w:rsidRPr="009D190E">
        <w:tab/>
        <w:t xml:space="preserve">       0,55876 €/m</w:t>
      </w:r>
      <w:r w:rsidRPr="009D190E">
        <w:rPr>
          <w:vertAlign w:val="superscript"/>
        </w:rPr>
        <w:t>3</w:t>
      </w:r>
    </w:p>
    <w:p w14:paraId="138DDB4C" w14:textId="77777777" w:rsidR="009D190E" w:rsidRPr="009D190E" w:rsidRDefault="009D190E" w:rsidP="009D190E">
      <w:pPr>
        <w:rPr>
          <w:rFonts w:cs="Arial"/>
        </w:rPr>
      </w:pPr>
    </w:p>
    <w:p w14:paraId="4422B525" w14:textId="23E4DF31" w:rsidR="009D190E" w:rsidRPr="009D190E" w:rsidRDefault="009D190E" w:rsidP="009D190E">
      <w:pPr>
        <w:rPr>
          <w:rFonts w:cs="Arial"/>
        </w:rPr>
      </w:pPr>
      <w:r w:rsidRPr="009D190E">
        <w:rPr>
          <w:rFonts w:cs="Arial"/>
        </w:rPr>
        <w:t>Kao pravni slijednik društva PRAGRANDE d.o.o. Pula, VODOVOD PULA</w:t>
      </w:r>
      <w:r w:rsidR="007C25FB">
        <w:rPr>
          <w:rFonts w:cs="Arial"/>
        </w:rPr>
        <w:t>-LABIN</w:t>
      </w:r>
      <w:r w:rsidRPr="009D190E">
        <w:rPr>
          <w:rFonts w:cs="Arial"/>
        </w:rPr>
        <w:t xml:space="preserve"> d.o.o. </w:t>
      </w:r>
      <w:r w:rsidR="007C25FB">
        <w:rPr>
          <w:rFonts w:cs="Arial"/>
        </w:rPr>
        <w:t xml:space="preserve">(ex: VODOVOD PULA D.O.O.) </w:t>
      </w:r>
      <w:r w:rsidRPr="009D190E">
        <w:rPr>
          <w:rFonts w:cs="Arial"/>
        </w:rPr>
        <w:t>od 01.06.2023. godine preuzima sva prava i obveze pripojenog društva, kao i  Odluku o cijeni vodnih usluga javne odvodnje broj 829/2023 koja je na snazi od 01.travnja 2023.godine, te postaju valjani akti društva preuzimatelja VODOVOD PULA</w:t>
      </w:r>
      <w:r w:rsidR="007C25FB">
        <w:rPr>
          <w:rFonts w:cs="Arial"/>
        </w:rPr>
        <w:t>-LABIN</w:t>
      </w:r>
      <w:r w:rsidRPr="009D190E">
        <w:rPr>
          <w:rFonts w:cs="Arial"/>
        </w:rPr>
        <w:t xml:space="preserve"> d.o.o. </w:t>
      </w:r>
      <w:r w:rsidR="007C25FB">
        <w:rPr>
          <w:rFonts w:cs="Arial"/>
        </w:rPr>
        <w:t xml:space="preserve">(ex: VODOVOD PULA d.o.o.). </w:t>
      </w:r>
      <w:r w:rsidRPr="009D190E">
        <w:rPr>
          <w:rFonts w:cs="Arial"/>
        </w:rPr>
        <w:t xml:space="preserve">Tarife vodnih usluga iz spomenute Odluke su slijedeće: </w:t>
      </w:r>
    </w:p>
    <w:p w14:paraId="028C31AC" w14:textId="77777777" w:rsidR="009D190E" w:rsidRPr="009D190E" w:rsidRDefault="009D190E" w:rsidP="009D190E">
      <w:pPr>
        <w:rPr>
          <w:rFonts w:cs="Arial"/>
        </w:rPr>
      </w:pPr>
    </w:p>
    <w:p w14:paraId="575A562B" w14:textId="77777777" w:rsidR="009D190E" w:rsidRPr="009D190E" w:rsidRDefault="009D190E" w:rsidP="009D190E">
      <w:pPr>
        <w:pStyle w:val="Uvuenotijeloteksta"/>
        <w:spacing w:after="0"/>
        <w:ind w:left="0"/>
      </w:pPr>
      <w:r w:rsidRPr="009D190E">
        <w:t>Tarifa vodnih usluga javne odvodnje za korisnike u stambenim prostorima:</w:t>
      </w:r>
    </w:p>
    <w:p w14:paraId="3FA8A2CA" w14:textId="77777777" w:rsidR="009D190E" w:rsidRPr="009D190E" w:rsidRDefault="009D190E" w:rsidP="0094608E">
      <w:pPr>
        <w:numPr>
          <w:ilvl w:val="0"/>
          <w:numId w:val="28"/>
        </w:numPr>
      </w:pPr>
      <w:r w:rsidRPr="009D190E">
        <w:t>Fiksni dio osnovne cijene skupljanja otpadnih voda</w:t>
      </w:r>
      <w:r w:rsidRPr="009D190E">
        <w:tab/>
      </w:r>
      <w:r w:rsidRPr="009D190E">
        <w:tab/>
      </w:r>
      <w:r w:rsidRPr="009D190E">
        <w:tab/>
        <w:t xml:space="preserve">          1,15 €/mj.;</w:t>
      </w:r>
    </w:p>
    <w:p w14:paraId="4379F0D4" w14:textId="77777777" w:rsidR="009D190E" w:rsidRPr="009D190E" w:rsidRDefault="009D190E" w:rsidP="0094608E">
      <w:pPr>
        <w:numPr>
          <w:ilvl w:val="0"/>
          <w:numId w:val="28"/>
        </w:numPr>
      </w:pPr>
      <w:r w:rsidRPr="009D190E">
        <w:t>Osnovna cijena vodne usluge skupljanja otpadnih voda – varijabilna</w:t>
      </w:r>
      <w:r w:rsidRPr="009D190E">
        <w:tab/>
        <w:t xml:space="preserve">    0,14998 €/ m</w:t>
      </w:r>
      <w:r w:rsidRPr="009D190E">
        <w:rPr>
          <w:vertAlign w:val="superscript"/>
        </w:rPr>
        <w:t>3</w:t>
      </w:r>
      <w:r w:rsidRPr="009D190E">
        <w:t>;</w:t>
      </w:r>
    </w:p>
    <w:p w14:paraId="3818DFDD" w14:textId="77777777" w:rsidR="009D190E" w:rsidRPr="009D190E" w:rsidRDefault="009D190E" w:rsidP="0094608E">
      <w:pPr>
        <w:numPr>
          <w:ilvl w:val="0"/>
          <w:numId w:val="28"/>
        </w:numPr>
      </w:pPr>
      <w:r w:rsidRPr="009D190E">
        <w:lastRenderedPageBreak/>
        <w:t>Fiksni dio osnovne cijene pročišćavanja otpadnih voda</w:t>
      </w:r>
      <w:r w:rsidRPr="009D190E">
        <w:tab/>
      </w:r>
      <w:r w:rsidRPr="009D190E">
        <w:tab/>
      </w:r>
      <w:r w:rsidRPr="009D190E">
        <w:tab/>
        <w:t xml:space="preserve">          0,18 €/mj.;</w:t>
      </w:r>
    </w:p>
    <w:p w14:paraId="2D50FBE0" w14:textId="77777777" w:rsidR="009D190E" w:rsidRPr="009D190E" w:rsidRDefault="009D190E" w:rsidP="0094608E">
      <w:pPr>
        <w:numPr>
          <w:ilvl w:val="0"/>
          <w:numId w:val="28"/>
        </w:numPr>
      </w:pPr>
      <w:r w:rsidRPr="009D190E">
        <w:t>Osnovna cijena vodne usluge pročišćavanja otpadnih voda – varijabilna</w:t>
      </w:r>
      <w:r w:rsidRPr="009D190E">
        <w:tab/>
        <w:t xml:space="preserve">    0,13670 €/ m</w:t>
      </w:r>
      <w:r w:rsidRPr="009D190E">
        <w:rPr>
          <w:vertAlign w:val="superscript"/>
        </w:rPr>
        <w:t>3</w:t>
      </w:r>
      <w:r w:rsidRPr="009D190E">
        <w:t>;</w:t>
      </w:r>
    </w:p>
    <w:p w14:paraId="16DB8B02" w14:textId="77777777" w:rsidR="009D190E" w:rsidRPr="009D190E" w:rsidRDefault="009D190E" w:rsidP="009D190E">
      <w:pPr>
        <w:rPr>
          <w:rFonts w:cs="Arial"/>
        </w:rPr>
      </w:pPr>
    </w:p>
    <w:p w14:paraId="7F707BE7" w14:textId="77777777" w:rsidR="009D190E" w:rsidRPr="009D190E" w:rsidRDefault="009D190E" w:rsidP="009D190E">
      <w:pPr>
        <w:pStyle w:val="Uvuenotijeloteksta"/>
        <w:spacing w:after="0"/>
        <w:ind w:left="0"/>
      </w:pPr>
      <w:r w:rsidRPr="009D190E">
        <w:t>Tarifa vodnih usluga javne odvodnje za kategoriju socijalno ugroženi građani:</w:t>
      </w:r>
    </w:p>
    <w:p w14:paraId="194E4541" w14:textId="77777777" w:rsidR="009D190E" w:rsidRPr="009D190E" w:rsidRDefault="009D190E" w:rsidP="0094608E">
      <w:pPr>
        <w:numPr>
          <w:ilvl w:val="0"/>
          <w:numId w:val="29"/>
        </w:numPr>
      </w:pPr>
      <w:r w:rsidRPr="009D190E">
        <w:t>Fiksni dio osnovne cijene skupljanja otpadnih voda</w:t>
      </w:r>
      <w:r w:rsidRPr="009D190E">
        <w:tab/>
      </w:r>
      <w:r w:rsidRPr="009D190E">
        <w:tab/>
      </w:r>
      <w:r w:rsidRPr="009D190E">
        <w:tab/>
        <w:t xml:space="preserve">          0,43 €/mj.;</w:t>
      </w:r>
    </w:p>
    <w:p w14:paraId="6AC39DA9" w14:textId="77777777" w:rsidR="009D190E" w:rsidRPr="009D190E" w:rsidRDefault="009D190E" w:rsidP="0094608E">
      <w:pPr>
        <w:numPr>
          <w:ilvl w:val="0"/>
          <w:numId w:val="29"/>
        </w:numPr>
      </w:pPr>
      <w:r w:rsidRPr="009D190E">
        <w:t>Osnovna cijena vodne usluge skupljanja otpadnih voda – varijabilna</w:t>
      </w:r>
      <w:r w:rsidRPr="009D190E">
        <w:tab/>
        <w:t xml:space="preserve">    0,08999 €/ m</w:t>
      </w:r>
      <w:r w:rsidRPr="009D190E">
        <w:rPr>
          <w:vertAlign w:val="superscript"/>
        </w:rPr>
        <w:t>3</w:t>
      </w:r>
      <w:r w:rsidRPr="009D190E">
        <w:t>;</w:t>
      </w:r>
    </w:p>
    <w:p w14:paraId="6D844E6F" w14:textId="77777777" w:rsidR="009D190E" w:rsidRPr="009D190E" w:rsidRDefault="009D190E" w:rsidP="0094608E">
      <w:pPr>
        <w:numPr>
          <w:ilvl w:val="0"/>
          <w:numId w:val="29"/>
        </w:numPr>
      </w:pPr>
      <w:r w:rsidRPr="009D190E">
        <w:t>Fiksni dio osnovne cijene pročišćavanja otpadnih voda</w:t>
      </w:r>
      <w:r w:rsidRPr="009D190E">
        <w:tab/>
      </w:r>
      <w:r w:rsidRPr="009D190E">
        <w:tab/>
      </w:r>
      <w:r w:rsidRPr="009D190E">
        <w:tab/>
        <w:t xml:space="preserve">          0,10 €/mj.;</w:t>
      </w:r>
    </w:p>
    <w:p w14:paraId="07C1E3B3" w14:textId="77777777" w:rsidR="009D190E" w:rsidRPr="009D190E" w:rsidRDefault="009D190E" w:rsidP="0094608E">
      <w:pPr>
        <w:numPr>
          <w:ilvl w:val="0"/>
          <w:numId w:val="29"/>
        </w:numPr>
      </w:pPr>
      <w:r w:rsidRPr="009D190E">
        <w:t>Osnovna cijena vodne usluge pročišćavanja otpadnih voda – varijabilna</w:t>
      </w:r>
      <w:r w:rsidRPr="009D190E">
        <w:tab/>
        <w:t xml:space="preserve">    0,08202 €/ m</w:t>
      </w:r>
      <w:r w:rsidRPr="009D190E">
        <w:rPr>
          <w:vertAlign w:val="superscript"/>
        </w:rPr>
        <w:t>3</w:t>
      </w:r>
      <w:r w:rsidRPr="009D190E">
        <w:t>;</w:t>
      </w:r>
    </w:p>
    <w:p w14:paraId="344908BE" w14:textId="77777777" w:rsidR="009D190E" w:rsidRPr="009D190E" w:rsidRDefault="009D190E" w:rsidP="009D190E">
      <w:pPr>
        <w:rPr>
          <w:rFonts w:cs="Arial"/>
        </w:rPr>
      </w:pPr>
    </w:p>
    <w:p w14:paraId="70E13C22" w14:textId="77777777" w:rsidR="009D190E" w:rsidRPr="009D190E" w:rsidRDefault="009D190E" w:rsidP="009D190E">
      <w:pPr>
        <w:pStyle w:val="Uvuenotijeloteksta"/>
        <w:spacing w:after="0"/>
        <w:ind w:left="0"/>
      </w:pPr>
      <w:r w:rsidRPr="009D190E">
        <w:t>Tarifa vodnih usluga javne odvodnje za korisnike u poslovnim prostorima:</w:t>
      </w:r>
    </w:p>
    <w:p w14:paraId="0BCCDFC3" w14:textId="77777777" w:rsidR="009D190E" w:rsidRPr="009D190E" w:rsidRDefault="009D190E" w:rsidP="0094608E">
      <w:pPr>
        <w:numPr>
          <w:ilvl w:val="0"/>
          <w:numId w:val="30"/>
        </w:numPr>
      </w:pPr>
      <w:r w:rsidRPr="009D190E">
        <w:t>Fiksni dio osnovne cijene skupljanja otpadnih voda</w:t>
      </w:r>
      <w:r w:rsidRPr="009D190E">
        <w:tab/>
      </w:r>
      <w:r w:rsidRPr="009D190E">
        <w:tab/>
      </w:r>
      <w:r w:rsidRPr="009D190E">
        <w:tab/>
        <w:t xml:space="preserve">          1,15 €/mj.;</w:t>
      </w:r>
    </w:p>
    <w:p w14:paraId="4DB0F59C" w14:textId="77777777" w:rsidR="009D190E" w:rsidRPr="009D190E" w:rsidRDefault="009D190E" w:rsidP="0094608E">
      <w:pPr>
        <w:numPr>
          <w:ilvl w:val="0"/>
          <w:numId w:val="30"/>
        </w:numPr>
      </w:pPr>
      <w:r w:rsidRPr="009D190E">
        <w:t>Osnovna cijena vodne usluge skupljanja otpadnih voda – varijabilna</w:t>
      </w:r>
      <w:r w:rsidRPr="009D190E">
        <w:tab/>
        <w:t xml:space="preserve">    0,31190 €/ m</w:t>
      </w:r>
      <w:r w:rsidRPr="009D190E">
        <w:rPr>
          <w:vertAlign w:val="superscript"/>
        </w:rPr>
        <w:t>3</w:t>
      </w:r>
      <w:r w:rsidRPr="009D190E">
        <w:t>;</w:t>
      </w:r>
    </w:p>
    <w:p w14:paraId="18CB3D3D" w14:textId="77777777" w:rsidR="009D190E" w:rsidRPr="009D190E" w:rsidRDefault="009D190E" w:rsidP="0094608E">
      <w:pPr>
        <w:numPr>
          <w:ilvl w:val="0"/>
          <w:numId w:val="30"/>
        </w:numPr>
      </w:pPr>
      <w:r w:rsidRPr="009D190E">
        <w:t>Fiksni dio osnovne cijene pročišćavanja otpadnih voda</w:t>
      </w:r>
      <w:r w:rsidRPr="009D190E">
        <w:tab/>
      </w:r>
      <w:r w:rsidRPr="009D190E">
        <w:tab/>
      </w:r>
      <w:r w:rsidRPr="009D190E">
        <w:tab/>
        <w:t xml:space="preserve">          0,18 €/mj.;</w:t>
      </w:r>
    </w:p>
    <w:p w14:paraId="47F8FF49" w14:textId="77777777" w:rsidR="009D190E" w:rsidRPr="009D190E" w:rsidRDefault="009D190E" w:rsidP="0094608E">
      <w:pPr>
        <w:numPr>
          <w:ilvl w:val="0"/>
          <w:numId w:val="30"/>
        </w:numPr>
      </w:pPr>
      <w:r w:rsidRPr="009D190E">
        <w:t>Osnovna cijena vodne usluge pročišćavanja otpadnih voda – varijabilna</w:t>
      </w:r>
      <w:r w:rsidRPr="009D190E">
        <w:tab/>
        <w:t xml:space="preserve">    0,15396 €/ m</w:t>
      </w:r>
      <w:r w:rsidRPr="009D190E">
        <w:rPr>
          <w:vertAlign w:val="superscript"/>
        </w:rPr>
        <w:t>3</w:t>
      </w:r>
      <w:r w:rsidRPr="009D190E">
        <w:t>;</w:t>
      </w:r>
    </w:p>
    <w:p w14:paraId="36668137" w14:textId="77777777" w:rsidR="009D190E" w:rsidRPr="009D190E" w:rsidRDefault="009D190E" w:rsidP="009D190E">
      <w:pPr>
        <w:rPr>
          <w:rFonts w:cs="Arial"/>
        </w:rPr>
      </w:pPr>
    </w:p>
    <w:p w14:paraId="1577F1D3" w14:textId="77777777" w:rsidR="009D190E" w:rsidRPr="009D190E" w:rsidRDefault="009D190E" w:rsidP="009D190E">
      <w:pPr>
        <w:rPr>
          <w:rFonts w:cs="Arial"/>
        </w:rPr>
      </w:pPr>
      <w:r w:rsidRPr="009D190E">
        <w:rPr>
          <w:rFonts w:cs="Arial"/>
        </w:rPr>
        <w:t xml:space="preserve">Tarifa vodne usluge crpljena i odvoza otpadnih voda do 10 km udaljenosti sa dužinom cijevi do 20 m određuje se u visinama: </w:t>
      </w:r>
    </w:p>
    <w:p w14:paraId="3584F323" w14:textId="77777777" w:rsidR="009D190E" w:rsidRPr="009D190E" w:rsidRDefault="009D190E" w:rsidP="0094608E">
      <w:pPr>
        <w:numPr>
          <w:ilvl w:val="0"/>
          <w:numId w:val="31"/>
        </w:numPr>
      </w:pPr>
      <w:r w:rsidRPr="009D190E">
        <w:t>Usluga crpljenja i odvoza otpadnih voda</w:t>
      </w:r>
      <w:r w:rsidRPr="009D190E">
        <w:tab/>
        <w:t xml:space="preserve">    </w:t>
      </w:r>
      <w:r w:rsidRPr="009D190E">
        <w:tab/>
      </w:r>
      <w:r w:rsidRPr="009D190E">
        <w:tab/>
        <w:t xml:space="preserve">       4,76 €/ m</w:t>
      </w:r>
      <w:r w:rsidRPr="009D190E">
        <w:rPr>
          <w:vertAlign w:val="superscript"/>
        </w:rPr>
        <w:t>3</w:t>
      </w:r>
      <w:r w:rsidRPr="009D190E">
        <w:t>;</w:t>
      </w:r>
    </w:p>
    <w:p w14:paraId="48704421" w14:textId="77777777" w:rsidR="009D190E" w:rsidRPr="009D190E" w:rsidRDefault="009D190E" w:rsidP="0094608E">
      <w:pPr>
        <w:numPr>
          <w:ilvl w:val="0"/>
          <w:numId w:val="31"/>
        </w:numPr>
      </w:pPr>
      <w:r w:rsidRPr="009D190E">
        <w:t>Usluga skupljanja i pročišćavanja otpadnih voda</w:t>
      </w:r>
      <w:r w:rsidRPr="009D190E">
        <w:tab/>
        <w:t xml:space="preserve">    </w:t>
      </w:r>
      <w:r w:rsidRPr="009D190E">
        <w:tab/>
        <w:t>0,28668 €/ m</w:t>
      </w:r>
      <w:r w:rsidRPr="009D190E">
        <w:rPr>
          <w:vertAlign w:val="superscript"/>
        </w:rPr>
        <w:t>3</w:t>
      </w:r>
      <w:r w:rsidRPr="009D190E">
        <w:t>;</w:t>
      </w:r>
    </w:p>
    <w:p w14:paraId="15F28B98" w14:textId="77777777" w:rsidR="009D190E" w:rsidRPr="009D190E" w:rsidRDefault="009D190E" w:rsidP="009D190E">
      <w:pPr>
        <w:rPr>
          <w:rFonts w:cs="Arial"/>
        </w:rPr>
      </w:pPr>
    </w:p>
    <w:p w14:paraId="14E20563" w14:textId="77777777" w:rsidR="009D190E" w:rsidRPr="009D190E" w:rsidRDefault="009D190E" w:rsidP="009D190E"/>
    <w:p w14:paraId="3DF55F29" w14:textId="77777777" w:rsidR="009D190E" w:rsidRPr="009D190E" w:rsidRDefault="009D190E" w:rsidP="009D190E">
      <w:pPr>
        <w:pBdr>
          <w:bottom w:val="single" w:sz="4" w:space="1" w:color="333399"/>
        </w:pBdr>
        <w:rPr>
          <w:b/>
        </w:rPr>
      </w:pPr>
      <w:r w:rsidRPr="009D190E">
        <w:rPr>
          <w:b/>
        </w:rPr>
        <w:t>Ljudski resursi</w:t>
      </w:r>
    </w:p>
    <w:p w14:paraId="09508A94" w14:textId="77777777" w:rsidR="009D190E" w:rsidRPr="009D190E" w:rsidRDefault="009D190E" w:rsidP="009D190E">
      <w:pPr>
        <w:rPr>
          <w:b/>
        </w:rPr>
      </w:pPr>
    </w:p>
    <w:p w14:paraId="71E10BB5" w14:textId="77777777" w:rsidR="009D190E" w:rsidRPr="009D190E" w:rsidRDefault="009D190E" w:rsidP="009D190E">
      <w:pPr>
        <w:rPr>
          <w:bCs/>
        </w:rPr>
      </w:pPr>
      <w:r w:rsidRPr="009D190E">
        <w:rPr>
          <w:bCs/>
        </w:rPr>
        <w:t xml:space="preserve">Na dan 31.12.2024. godine zaposleno je 231 radnika, dok je na dan 31.12.2023. godine bilo zaposleno 225 radnika. Od 231 zaposlenih radnika, 5 radnika je zaposleno na određeno vrijeme, dok je 226 radnika zaposleno na neodređeno vrijeme. </w:t>
      </w:r>
    </w:p>
    <w:p w14:paraId="618B0494" w14:textId="77777777" w:rsidR="009D190E" w:rsidRPr="009D190E" w:rsidRDefault="009D190E" w:rsidP="009D190E">
      <w:pPr>
        <w:rPr>
          <w:bCs/>
        </w:rPr>
      </w:pPr>
    </w:p>
    <w:p w14:paraId="2D3B9C46" w14:textId="77777777" w:rsidR="009D190E" w:rsidRPr="009D190E" w:rsidRDefault="009D190E" w:rsidP="009D190E">
      <w:pPr>
        <w:spacing w:before="100"/>
      </w:pPr>
      <w:r w:rsidRPr="009D190E">
        <w:t>Tijekom 2024. godine zaposleno je 16 radnika na neodređeno vrijeme, dok je sa 2 radnika zasnovan radni odnos na određeno vrijeme (zbog povećanja obima posla i zamjene radnika zbog odlaska u mirovinu).</w:t>
      </w:r>
    </w:p>
    <w:p w14:paraId="62E70298" w14:textId="77777777" w:rsidR="009D190E" w:rsidRPr="009D190E" w:rsidRDefault="009D190E" w:rsidP="009D190E">
      <w:pPr>
        <w:spacing w:before="100"/>
        <w:rPr>
          <w:bCs/>
        </w:rPr>
      </w:pPr>
    </w:p>
    <w:p w14:paraId="535B60E7" w14:textId="77777777" w:rsidR="009D190E" w:rsidRPr="009D190E" w:rsidRDefault="009D190E" w:rsidP="009D190E">
      <w:r w:rsidRPr="009D190E">
        <w:rPr>
          <w:bCs/>
        </w:rPr>
        <w:t xml:space="preserve">Tijekom 2024. godine 8 radnika je otišlo u mirovinu, </w:t>
      </w:r>
      <w:r w:rsidRPr="009D190E">
        <w:t>1 radnik je otišao u prijevremenu mirovinu, dok je sa 6 radnika sklopljen sporazumi raskid ugovora o radu.</w:t>
      </w:r>
    </w:p>
    <w:p w14:paraId="73A15608" w14:textId="77777777" w:rsidR="009D190E" w:rsidRPr="009D190E" w:rsidRDefault="009D190E" w:rsidP="009D190E">
      <w:pPr>
        <w:rPr>
          <w:b/>
        </w:rPr>
      </w:pPr>
    </w:p>
    <w:p w14:paraId="0F6E6220" w14:textId="77777777" w:rsidR="009D190E" w:rsidRPr="009D190E" w:rsidRDefault="009D190E" w:rsidP="009D190E">
      <w:r w:rsidRPr="009D190E">
        <w:t xml:space="preserve">Učešće ukupnih bolovanja u mogućim satima rada iznosi 9,7%, dok je prošlogodišnje iznosilo 9,4%, a  bolovanja na teret HZZO i HZZOZZR čine 4,7% mogućih sati. </w:t>
      </w:r>
    </w:p>
    <w:p w14:paraId="18B72AC9" w14:textId="77777777" w:rsidR="009D190E" w:rsidRPr="009D190E" w:rsidRDefault="009D190E" w:rsidP="009D190E"/>
    <w:p w14:paraId="45F12D99" w14:textId="77777777" w:rsidR="009D190E" w:rsidRPr="009D190E" w:rsidRDefault="009D190E" w:rsidP="009D190E">
      <w:r w:rsidRPr="009D190E">
        <w:t xml:space="preserve">U produženom radu u 2024. godini odrađeno je 8.256 sati što je više za 4,6% u odnosu na 2023.godinu kada je ostvareno 7.892 sati. </w:t>
      </w:r>
    </w:p>
    <w:p w14:paraId="506F127C" w14:textId="77777777" w:rsidR="009D190E" w:rsidRPr="009D190E" w:rsidRDefault="009D190E" w:rsidP="009D190E"/>
    <w:p w14:paraId="5024F8F6" w14:textId="77777777" w:rsidR="009D190E" w:rsidRPr="009D190E" w:rsidRDefault="009D190E" w:rsidP="009D190E">
      <w:r w:rsidRPr="009D190E">
        <w:t>Krajem 2024. godine završeno je kolektivno pregovaranje, na zadovoljstvo radnika s jedne strane i Uprave s druge strane. Obje strane su postigle dogovor  koji doprinosi daljnjem jačanju Društva.</w:t>
      </w:r>
    </w:p>
    <w:p w14:paraId="356FCE02" w14:textId="77777777" w:rsidR="009D190E" w:rsidRPr="009D190E" w:rsidRDefault="009D190E" w:rsidP="009D190E"/>
    <w:p w14:paraId="1D3EF7FF" w14:textId="77777777" w:rsidR="009D190E" w:rsidRPr="009D190E" w:rsidRDefault="009D190E" w:rsidP="009D190E"/>
    <w:p w14:paraId="13BCC03D" w14:textId="77777777" w:rsidR="009D190E" w:rsidRDefault="009D190E" w:rsidP="009D190E"/>
    <w:p w14:paraId="1882BCD9" w14:textId="77777777" w:rsidR="009D190E" w:rsidRDefault="009D190E" w:rsidP="009D190E"/>
    <w:p w14:paraId="38C616AE" w14:textId="77777777" w:rsidR="009D190E" w:rsidRPr="009D190E" w:rsidRDefault="009D190E" w:rsidP="009D190E"/>
    <w:p w14:paraId="4B27AC64" w14:textId="77777777" w:rsidR="009D190E" w:rsidRPr="009D190E" w:rsidRDefault="009D190E" w:rsidP="009D190E">
      <w:pPr>
        <w:pBdr>
          <w:bottom w:val="single" w:sz="4" w:space="1" w:color="333399"/>
        </w:pBdr>
        <w:rPr>
          <w:b/>
        </w:rPr>
      </w:pPr>
      <w:r w:rsidRPr="009D190E">
        <w:rPr>
          <w:b/>
        </w:rPr>
        <w:lastRenderedPageBreak/>
        <w:t xml:space="preserve">Pokrenute investicije </w:t>
      </w:r>
    </w:p>
    <w:p w14:paraId="4C0D5610" w14:textId="77777777" w:rsidR="009D190E" w:rsidRPr="009D190E" w:rsidRDefault="009D190E" w:rsidP="009D190E">
      <w:pPr>
        <w:rPr>
          <w:b/>
        </w:rPr>
      </w:pPr>
    </w:p>
    <w:p w14:paraId="36AB8692" w14:textId="77777777" w:rsidR="009D190E" w:rsidRPr="009D190E" w:rsidRDefault="009D190E" w:rsidP="009D190E">
      <w:pPr>
        <w:spacing w:after="240"/>
      </w:pPr>
      <w:r w:rsidRPr="009D190E">
        <w:t>Ukupna investicijska ulaganja tijekom 2024. godine iznose 12,3 milijuna eura, od toga:</w:t>
      </w:r>
    </w:p>
    <w:p w14:paraId="6D5651F3" w14:textId="77777777" w:rsidR="009D190E" w:rsidRPr="009D190E" w:rsidRDefault="009D190E" w:rsidP="0094608E">
      <w:pPr>
        <w:numPr>
          <w:ilvl w:val="0"/>
          <w:numId w:val="22"/>
        </w:numPr>
      </w:pPr>
      <w:r w:rsidRPr="009D190E">
        <w:t xml:space="preserve">U izgradnju i rekonstrukciju vodovodne mreže investirano je 5,1 milijuna eura; </w:t>
      </w:r>
    </w:p>
    <w:p w14:paraId="2392B8FC" w14:textId="77777777" w:rsidR="009D190E" w:rsidRPr="009D190E" w:rsidRDefault="009D190E" w:rsidP="0094608E">
      <w:pPr>
        <w:numPr>
          <w:ilvl w:val="0"/>
          <w:numId w:val="22"/>
        </w:numPr>
      </w:pPr>
      <w:r w:rsidRPr="009D190E">
        <w:t xml:space="preserve">U izgradnju i rekonstrukciju mreže odvodnje investirano je 5,0 milijuna eura; </w:t>
      </w:r>
    </w:p>
    <w:p w14:paraId="4ECF6FFE" w14:textId="77777777" w:rsidR="009D190E" w:rsidRPr="009D190E" w:rsidRDefault="009D190E" w:rsidP="0094608E">
      <w:pPr>
        <w:numPr>
          <w:ilvl w:val="0"/>
          <w:numId w:val="22"/>
        </w:numPr>
      </w:pPr>
      <w:r w:rsidRPr="009D190E">
        <w:t>U osnovnu djelatnost investirano je 2,2 milijuna eura.</w:t>
      </w:r>
    </w:p>
    <w:p w14:paraId="070831F4" w14:textId="77777777" w:rsidR="009D190E" w:rsidRPr="009D190E" w:rsidRDefault="009D190E" w:rsidP="009D190E"/>
    <w:p w14:paraId="6071067A" w14:textId="77777777" w:rsidR="009D190E" w:rsidRPr="009D190E" w:rsidRDefault="009D190E" w:rsidP="009D190E">
      <w:r w:rsidRPr="009D190E">
        <w:t>Kroz višegodišnji rad na održavanju postojeće i na izgradnji nove vodoopskrbne mreže kontinuirano se prati, analizira i shodno tome zahtijeva da se, kroz javne nabave svih razina, koriste certificirani materijali koji su se kroz primjernu pokazali najsigurniji u svim segmentima za zdravstvenu ispravnost vode koja se isporučuje potrošačima.</w:t>
      </w:r>
    </w:p>
    <w:p w14:paraId="6B124FEF" w14:textId="77777777" w:rsidR="009D190E" w:rsidRPr="009D190E" w:rsidRDefault="009D190E" w:rsidP="009D190E">
      <w:pPr>
        <w:ind w:left="360"/>
      </w:pPr>
    </w:p>
    <w:p w14:paraId="389166F5" w14:textId="77777777" w:rsidR="009D190E" w:rsidRPr="009D190E" w:rsidRDefault="009D190E" w:rsidP="009D190E">
      <w:pPr>
        <w:ind w:left="360"/>
      </w:pPr>
    </w:p>
    <w:p w14:paraId="3D278478" w14:textId="77777777" w:rsidR="009D190E" w:rsidRPr="009D190E" w:rsidRDefault="009D190E" w:rsidP="009D190E">
      <w:pPr>
        <w:pBdr>
          <w:bottom w:val="single" w:sz="4" w:space="1" w:color="333399"/>
        </w:pBdr>
        <w:rPr>
          <w:b/>
        </w:rPr>
      </w:pPr>
      <w:r w:rsidRPr="009D190E">
        <w:rPr>
          <w:b/>
        </w:rPr>
        <w:t xml:space="preserve">Sustav kvalitete i zaštite okoliša </w:t>
      </w:r>
    </w:p>
    <w:p w14:paraId="3011C3AA" w14:textId="77777777" w:rsidR="009D190E" w:rsidRPr="009D190E" w:rsidRDefault="009D190E" w:rsidP="009D190E"/>
    <w:p w14:paraId="348C22F5" w14:textId="77777777" w:rsidR="009D190E" w:rsidRPr="009D190E" w:rsidRDefault="009D190E" w:rsidP="009D190E">
      <w:r w:rsidRPr="009D190E">
        <w:t>Od 2008. godine Društvo posjeduje certifikat o primjeni sustava kvalitete prema normi ISO 9001:2008. Krajem 2009. godine uveden je sustav zaštite okoliša prema normi ISO 14001:2004. Tijekom 2017. godine izvršen je tranzicijski audit za oba sustava od strane nezavisne certifikacijske kuće i utvrđeno da Društvo udovoljava zahtjevima norme ISO 9001:2015 i zahtjevima norme zaštite okoliša ISO 14001:2015.</w:t>
      </w:r>
    </w:p>
    <w:p w14:paraId="7F25CE71" w14:textId="77777777" w:rsidR="009D190E" w:rsidRPr="009D190E" w:rsidRDefault="009D190E" w:rsidP="009D190E"/>
    <w:p w14:paraId="686DC327" w14:textId="77777777" w:rsidR="009D190E" w:rsidRPr="009D190E" w:rsidRDefault="009D190E" w:rsidP="009D190E">
      <w:r w:rsidRPr="009D190E">
        <w:t>U 2024. godini izvršen je redoviti godišnji nadzor primjene sustava kvalitete i sustava zaštite okoliša.</w:t>
      </w:r>
    </w:p>
    <w:p w14:paraId="55E4A3FB" w14:textId="77777777" w:rsidR="009D190E" w:rsidRPr="009D190E" w:rsidRDefault="009D190E" w:rsidP="009D190E"/>
    <w:p w14:paraId="3F73B4D7" w14:textId="77777777" w:rsidR="009D190E" w:rsidRPr="009D190E" w:rsidRDefault="009D190E" w:rsidP="009D190E">
      <w:bookmarkStart w:id="3" w:name="_Hlk195772098"/>
    </w:p>
    <w:p w14:paraId="54ED8215" w14:textId="77777777" w:rsidR="009D190E" w:rsidRPr="009D190E" w:rsidRDefault="009D190E" w:rsidP="009D190E">
      <w:pPr>
        <w:pBdr>
          <w:bottom w:val="single" w:sz="4" w:space="1" w:color="333399"/>
        </w:pBdr>
        <w:rPr>
          <w:b/>
        </w:rPr>
      </w:pPr>
      <w:r w:rsidRPr="009D190E">
        <w:rPr>
          <w:b/>
        </w:rPr>
        <w:t xml:space="preserve">Upravljanje financijskim rizicima </w:t>
      </w:r>
    </w:p>
    <w:p w14:paraId="36A441A3" w14:textId="77777777" w:rsidR="009D190E" w:rsidRPr="009D190E" w:rsidRDefault="009D190E" w:rsidP="009D190E"/>
    <w:bookmarkEnd w:id="3"/>
    <w:p w14:paraId="5676D42B" w14:textId="77777777" w:rsidR="009D190E" w:rsidRPr="009D190E" w:rsidRDefault="009D190E" w:rsidP="009D190E">
      <w:r w:rsidRPr="009D190E">
        <w:t>Financijska imovina koja potencijalno može dovesti Društvo u kreditni rizik obuhvaća novac i potraživanja od kupaca. Potraživanja u sporu građana, pravnih osoba i obrtnika čini 24,26% ukupnih potraživanja od kupaca, od čega je 61,73% potraživanja vrijednosno usklađeno.</w:t>
      </w:r>
    </w:p>
    <w:p w14:paraId="27B65A2D" w14:textId="77777777" w:rsidR="009D190E" w:rsidRPr="009D190E" w:rsidRDefault="009D190E" w:rsidP="009D190E"/>
    <w:p w14:paraId="19AE410C" w14:textId="77777777" w:rsidR="009D190E" w:rsidRPr="009D190E" w:rsidRDefault="009D190E" w:rsidP="009D190E">
      <w:pPr>
        <w:rPr>
          <w:color w:val="FF0000"/>
        </w:rPr>
      </w:pPr>
    </w:p>
    <w:p w14:paraId="4D0234E3" w14:textId="77777777" w:rsidR="009D190E" w:rsidRPr="009D190E" w:rsidRDefault="009D190E" w:rsidP="009D190E">
      <w:pPr>
        <w:pBdr>
          <w:bottom w:val="single" w:sz="4" w:space="1" w:color="333399"/>
        </w:pBdr>
        <w:rPr>
          <w:b/>
        </w:rPr>
      </w:pPr>
      <w:r w:rsidRPr="009D190E">
        <w:rPr>
          <w:b/>
        </w:rPr>
        <w:t>Rezultat poslovanja</w:t>
      </w:r>
    </w:p>
    <w:p w14:paraId="68B3C5E6" w14:textId="77777777" w:rsidR="009D190E" w:rsidRPr="009D190E" w:rsidRDefault="009D190E" w:rsidP="009D190E">
      <w:pPr>
        <w:rPr>
          <w:b/>
          <w:highlight w:val="red"/>
        </w:rPr>
      </w:pPr>
    </w:p>
    <w:p w14:paraId="53BBF5CD" w14:textId="77777777" w:rsidR="009D190E" w:rsidRPr="009D190E" w:rsidRDefault="009D190E" w:rsidP="009D190E">
      <w:r w:rsidRPr="009D190E">
        <w:t>Ukupni prihod u 2024. godini iznosi 18,4 milijuna eura, i u odnosu na prethodnu 2023. godinu veći je za 18,01%. Fakturirani prihod od usluga javne vodoopskrbe u 2024. godini iznosi 9,5 milijuna eura i veći je za 3,51% u odnosu na fakturirani prihod u 2023. godini. Fakturirani prihod od usluga odvodnje i pročišćavanja otpadnih voda u 2024. godini iznosi 2,5 milijuna eura, što je za 65,55% više, ali u odnosu na sedmomjesečno razdoblje 2023. godine (1,5 milijuna eura), jer se djelatnost odvodnje i pročišćavanja u Vodovodu Pula obavlja od 01.06.2023., nakon preuzimanja društva Pragrande sa 31.05.2023. godine.</w:t>
      </w:r>
    </w:p>
    <w:p w14:paraId="6CD18CDE" w14:textId="77777777" w:rsidR="009D190E" w:rsidRPr="009D190E" w:rsidRDefault="009D190E" w:rsidP="009D190E"/>
    <w:p w14:paraId="3E1600DB" w14:textId="08E7A7E3" w:rsidR="009D190E" w:rsidRPr="009D190E" w:rsidRDefault="009D190E" w:rsidP="009D190E">
      <w:r w:rsidRPr="009D190E">
        <w:t xml:space="preserve">Ukupni rashodi u 2024. godini iznose 18,4 milijuna eura, i veći su za </w:t>
      </w:r>
      <w:r w:rsidR="00B103D8">
        <w:t>18,5</w:t>
      </w:r>
      <w:r w:rsidRPr="009D190E">
        <w:t xml:space="preserve">% u odnosu na prethodno razdoblje. </w:t>
      </w:r>
    </w:p>
    <w:p w14:paraId="6D2BB416" w14:textId="77777777" w:rsidR="009D190E" w:rsidRPr="009D190E" w:rsidRDefault="009D190E" w:rsidP="009D190E"/>
    <w:p w14:paraId="40A8AABA" w14:textId="77777777" w:rsidR="009D190E" w:rsidRPr="009D190E" w:rsidRDefault="009D190E" w:rsidP="009D190E">
      <w:r w:rsidRPr="009D190E">
        <w:t>Bruto dobit za 2024. godinu iznosi 4.512 eura.</w:t>
      </w:r>
    </w:p>
    <w:p w14:paraId="21AA696E" w14:textId="77777777" w:rsidR="009D190E" w:rsidRPr="009D190E" w:rsidRDefault="009D190E" w:rsidP="009D190E">
      <w:pPr>
        <w:pBdr>
          <w:bottom w:val="single" w:sz="4" w:space="1" w:color="333399"/>
        </w:pBdr>
        <w:rPr>
          <w:b/>
        </w:rPr>
      </w:pPr>
      <w:r w:rsidRPr="009D190E">
        <w:rPr>
          <w:b/>
        </w:rPr>
        <w:lastRenderedPageBreak/>
        <w:t>Najznačajnije aktivnosti i smjernice rada za naredni period</w:t>
      </w:r>
    </w:p>
    <w:p w14:paraId="219B5BDB" w14:textId="77777777" w:rsidR="009D190E" w:rsidRPr="009D190E" w:rsidRDefault="009D190E" w:rsidP="009D190E"/>
    <w:p w14:paraId="601FB18E" w14:textId="77777777" w:rsidR="009D190E" w:rsidRPr="009D190E" w:rsidRDefault="009D190E" w:rsidP="009D190E">
      <w:r w:rsidRPr="009D190E">
        <w:t xml:space="preserve">U 2024. godini ostvarene su značajne aktivnosti u realizaciji projekta </w:t>
      </w:r>
      <w:r w:rsidRPr="009D190E">
        <w:rPr>
          <w:i/>
          <w:iCs/>
        </w:rPr>
        <w:t>Poboljšanje sustava vodoopskrbe te sustava odvodnje i pročišćavanja otpadnih voda u aglomeraciji Pula Sjever</w:t>
      </w:r>
      <w:r w:rsidRPr="009D190E">
        <w:t>, koji je ušao u program sufinanciranja iz Nacionalnog plana oporavka i otpornosti 2021. – 2026. Ugovor o dodjeli bespovratnih sredstava sklopljen je 31.05.2023. godine, a ukupni procijenjeni prihvatljivi troškovi iznose 45.470.082,05 EUR bez PDV-a.</w:t>
      </w:r>
    </w:p>
    <w:p w14:paraId="3AEB7BFD" w14:textId="77777777" w:rsidR="009D190E" w:rsidRPr="009D190E" w:rsidRDefault="009D190E" w:rsidP="009D190E"/>
    <w:p w14:paraId="770065DC" w14:textId="77777777" w:rsidR="009D190E" w:rsidRPr="009D190E" w:rsidRDefault="009D190E" w:rsidP="009D190E">
      <w:r w:rsidRPr="009D190E">
        <w:t>Društvo je u svibnju sklopilo ugovor za isporuku tri specijalna, dva teretna vozila za održavanje sustava javne odvodnje, samousisne diesel crpke i ručne kamere za snimanje okna kanalizacije s tvrtkom Agra trgovina d.o.o. iz Zagreba, dok je ugovor za nabavu i implementaciju geografsko-informacijskog sustava (GIS) sklopljen s tvrtkom Protok d.o.o. iz Zagreba. Ukupna vrijednost sklopljenih ugovora iznosi 2.033.080,00 eura bez PDV-a, a predmetnom nabavom povećat će se učinkovitost održavanja postojećeg sustava javne odvodnje te podignuti kvaliteta usluga za korisnike Društva. Također, sklopljen je i ugovor Zajednicom ponuditelja UP Robotics d.o.o. iz Pule i Oblak Jurišin-Kaufman PR agencija  u vrijednosti od 113.888,00 eura, koja će vršiti usluge informiranja građana i povećanja vidljivosti aktivnosti i ciljeva EU projekta tijekom njegova trajanja.</w:t>
      </w:r>
    </w:p>
    <w:p w14:paraId="655097AA" w14:textId="77777777" w:rsidR="009D190E" w:rsidRPr="009D190E" w:rsidRDefault="009D190E" w:rsidP="009D190E"/>
    <w:p w14:paraId="5FD74094" w14:textId="77777777" w:rsidR="009D190E" w:rsidRPr="009D190E" w:rsidRDefault="009D190E" w:rsidP="009D190E">
      <w:r w:rsidRPr="009D190E">
        <w:t>Nakon provedenih postupaka javne nabave, zaključeno je da za daljnje izvršenje obveze sufinanciranja učešća JLS tijekom provedbe i realizacije projekta, nužno je dugoročno zaduženje Društva za iznos od 10.000.000,00 eura na 10 godina te dogovoreni su omjeri vraćanja kredita iz naknada za razvoj jedinica lokalnih samouprava na čijem se području provodi planirani zahvat.</w:t>
      </w:r>
      <w:r w:rsidRPr="009D190E">
        <w:rPr>
          <w:b/>
          <w:bCs/>
        </w:rPr>
        <w:t xml:space="preserve"> </w:t>
      </w:r>
      <w:r w:rsidRPr="009D190E">
        <w:t xml:space="preserve">Slijedom navedenoga, Društvo je u srpnju sklopilo ugovore s tvrtkom Godina d.o.o. iz Slovenije u iznosu od 28.741.749,03 eura bez PDV-a za izvođenje radova na proširenju i rekonstrukciji sustava vodoopskrbe i odvodnje i tvrtkom Pomgrad inženjering d.o.o. iz Splita u iznosu od 4.252.859,26 eura bez PDV-a za izgradnju havarijskih ispusta i podmorskog ispusta planiranog UPOV Peroj. Uz to, Društvo je s tvrtkom Ind-Eko d.o.o. iz Rijeke za radove na rekonstrukciji sustav odvodnje otpadnih voda Fažana (sanacija CIPP metodom) u iznosu od 374.392,87 eura bez PDV-a. </w:t>
      </w:r>
    </w:p>
    <w:p w14:paraId="5FD55637" w14:textId="77777777" w:rsidR="009D190E" w:rsidRPr="009D190E" w:rsidRDefault="009D190E" w:rsidP="009D190E"/>
    <w:p w14:paraId="16595DC4" w14:textId="77777777" w:rsidR="009D190E" w:rsidRPr="009D190E" w:rsidRDefault="009D190E" w:rsidP="009D190E">
      <w:r w:rsidRPr="009D190E">
        <w:t>Radovi na izgradnji sustava odvodnje i vodoopskrbe na području naselja Veli Vrh i Šijana koja je izdvojena je iz aglomeracije Pula Centar, i također sufinancirana iz Nacionalnog plana oporavka i otpornosti 2021. – 2026., dovršeni su u studenom 2024. godine. Sveukupna vrijednost radova iznosila je 4.975,687,99 eura od čega za izgradnju sustava javne odvodnje 3.818.332,72 eura, a vodoopskrbe 1.157.335,27 eura bez PDV-a.</w:t>
      </w:r>
    </w:p>
    <w:p w14:paraId="7D6EDD40" w14:textId="77777777" w:rsidR="009D190E" w:rsidRPr="009D190E" w:rsidRDefault="009D190E" w:rsidP="009D190E"/>
    <w:p w14:paraId="212AD12B" w14:textId="77777777" w:rsidR="009D190E" w:rsidRPr="009D190E" w:rsidRDefault="009D190E" w:rsidP="009D190E">
      <w:r w:rsidRPr="009D190E">
        <w:t>Krajem godine, Društvo je sklopilo okvirni sporazum na dvije godine sa Zajednicom ponuditelja TGT - Adriatik d.o.o. Pula, ProAdria d.o.o., Ljubljana i V3, gradnja in inženiring, d.o.o., Ljubljana za izvođenje radova na rekonstrukciji glavnog vodoopskrbnog cjevovoda na području naselja Štinjan (faze 1 do 6) u iznosu od 2.826.922,04 eura bez PDV-a, za koje je planiran početak radova za prvi kvartal 2025. godine.</w:t>
      </w:r>
    </w:p>
    <w:p w14:paraId="02A72E46" w14:textId="77777777" w:rsidR="009D190E" w:rsidRPr="009D190E" w:rsidRDefault="009D190E" w:rsidP="009D190E"/>
    <w:p w14:paraId="3DF35368" w14:textId="77777777" w:rsidR="009D190E" w:rsidRPr="009D190E" w:rsidRDefault="009D190E" w:rsidP="009D190E">
      <w:r w:rsidRPr="009D190E">
        <w:t>U nastavku slijedi prikaz značajnijih radova u okviru sustava odvodnje tijekom 2024. godine:</w:t>
      </w:r>
    </w:p>
    <w:p w14:paraId="3AD38503" w14:textId="77777777" w:rsidR="009D190E" w:rsidRDefault="009D190E" w:rsidP="009D190E"/>
    <w:p w14:paraId="04E43DBD" w14:textId="77777777" w:rsidR="00FC0CA2" w:rsidRDefault="00FC0CA2" w:rsidP="009D190E"/>
    <w:p w14:paraId="6B59608A" w14:textId="77777777" w:rsidR="00FC0CA2" w:rsidRDefault="00FC0CA2" w:rsidP="009D190E"/>
    <w:p w14:paraId="590E63D1" w14:textId="77777777" w:rsidR="00FC0CA2" w:rsidRPr="009D190E" w:rsidRDefault="00FC0CA2" w:rsidP="009D190E"/>
    <w:p w14:paraId="5FA2A1D3" w14:textId="77777777" w:rsidR="009D190E" w:rsidRPr="009D190E" w:rsidRDefault="009D190E" w:rsidP="009D190E">
      <w:pPr>
        <w:rPr>
          <w:u w:val="single"/>
        </w:rPr>
      </w:pPr>
      <w:r w:rsidRPr="009D190E">
        <w:rPr>
          <w:u w:val="single"/>
        </w:rPr>
        <w:lastRenderedPageBreak/>
        <w:t>NPOO –EU PROJEKTI</w:t>
      </w:r>
    </w:p>
    <w:p w14:paraId="7D26FE68" w14:textId="77777777" w:rsidR="009D190E" w:rsidRPr="009D190E" w:rsidRDefault="009D190E" w:rsidP="009D190E">
      <w:r w:rsidRPr="009D190E">
        <w:t xml:space="preserve">   Pula Centar</w:t>
      </w:r>
    </w:p>
    <w:p w14:paraId="5BFAC50E" w14:textId="77777777" w:rsidR="009D190E" w:rsidRPr="009D190E" w:rsidRDefault="009D190E" w:rsidP="0094608E">
      <w:pPr>
        <w:pStyle w:val="Odlomakpopisa"/>
        <w:numPr>
          <w:ilvl w:val="0"/>
          <w:numId w:val="19"/>
        </w:numPr>
      </w:pPr>
      <w:r w:rsidRPr="009D190E">
        <w:t>Izgradnja sustava odvodnje unutar Grada Pule na području naselja Veli vrh – Šijana (područje Veli vrh Sjever) – DOVRŠENO 2024</w:t>
      </w:r>
    </w:p>
    <w:p w14:paraId="3E668BDE" w14:textId="77777777" w:rsidR="009D190E" w:rsidRPr="009D190E" w:rsidRDefault="009D190E" w:rsidP="009D190E">
      <w:r w:rsidRPr="009D190E">
        <w:t xml:space="preserve">   Pula Sjever</w:t>
      </w:r>
    </w:p>
    <w:p w14:paraId="7F109F0F" w14:textId="77777777" w:rsidR="009D190E" w:rsidRPr="009D190E" w:rsidRDefault="009D190E" w:rsidP="0094608E">
      <w:pPr>
        <w:pStyle w:val="Odlomakpopisa"/>
        <w:numPr>
          <w:ilvl w:val="0"/>
          <w:numId w:val="20"/>
        </w:numPr>
      </w:pPr>
      <w:r w:rsidRPr="009D190E">
        <w:t>PROJEKTIRANJE, IZGRADNJA I PROBNI RAD UPOV-a PEROJ – u 2024 dovršena izrada Glavnog projekta, ishodovana građevinska dozvola</w:t>
      </w:r>
    </w:p>
    <w:p w14:paraId="3BB2F35E" w14:textId="77777777" w:rsidR="009D190E" w:rsidRPr="009D190E" w:rsidRDefault="009D190E" w:rsidP="0094608E">
      <w:pPr>
        <w:pStyle w:val="Odlomakpopisa"/>
        <w:numPr>
          <w:ilvl w:val="0"/>
          <w:numId w:val="20"/>
        </w:numPr>
      </w:pPr>
      <w:r w:rsidRPr="009D190E">
        <w:t>Podmorski ispust UPOV Peroj – započeti radovi</w:t>
      </w:r>
    </w:p>
    <w:p w14:paraId="5B2F2CCC" w14:textId="77777777" w:rsidR="009D190E" w:rsidRPr="009D190E" w:rsidRDefault="009D190E" w:rsidP="0094608E">
      <w:pPr>
        <w:pStyle w:val="Odlomakpopisa"/>
        <w:numPr>
          <w:ilvl w:val="0"/>
          <w:numId w:val="20"/>
        </w:numPr>
      </w:pPr>
      <w:r w:rsidRPr="009D190E">
        <w:t>Sigurnosni ispusti crpnih stanica Puntižela i Fažana Badel – započeti radovi</w:t>
      </w:r>
    </w:p>
    <w:p w14:paraId="3BD66B2C" w14:textId="77777777" w:rsidR="009D190E" w:rsidRPr="009D190E" w:rsidRDefault="009D190E" w:rsidP="0094608E">
      <w:pPr>
        <w:pStyle w:val="Odlomakpopisa"/>
        <w:numPr>
          <w:ilvl w:val="0"/>
          <w:numId w:val="20"/>
        </w:numPr>
      </w:pPr>
      <w:r w:rsidRPr="009D190E">
        <w:t>Sustav odvodnje otpadnih voda naselja Štinjan, Valbandon, Fažana i Peroj – započeti radovi</w:t>
      </w:r>
    </w:p>
    <w:p w14:paraId="2BDA4164" w14:textId="77777777" w:rsidR="009D190E" w:rsidRPr="009D190E" w:rsidRDefault="009D190E" w:rsidP="0094608E">
      <w:pPr>
        <w:pStyle w:val="Odlomakpopisa"/>
        <w:numPr>
          <w:ilvl w:val="0"/>
          <w:numId w:val="20"/>
        </w:numPr>
      </w:pPr>
      <w:r w:rsidRPr="009D190E">
        <w:t>Sustav odvodnje otpadnih voda naselja Štinjan – proširenje sekundarne mreže - započeti radovi</w:t>
      </w:r>
    </w:p>
    <w:p w14:paraId="6F0B5AF6" w14:textId="77777777" w:rsidR="009D190E" w:rsidRPr="009D190E" w:rsidRDefault="009D190E" w:rsidP="0094608E">
      <w:pPr>
        <w:pStyle w:val="Odlomakpopisa"/>
        <w:numPr>
          <w:ilvl w:val="0"/>
          <w:numId w:val="20"/>
        </w:numPr>
      </w:pPr>
      <w:r w:rsidRPr="009D190E">
        <w:t>Cjevovod Pinezići-Vodnjan,  vodovodni ogranci i regulacijska okna u Vodnjanu – započeti radovi</w:t>
      </w:r>
    </w:p>
    <w:p w14:paraId="21AD9411" w14:textId="77777777" w:rsidR="009D190E" w:rsidRPr="009D190E" w:rsidRDefault="009D190E" w:rsidP="009D190E"/>
    <w:p w14:paraId="1B161E07" w14:textId="77777777" w:rsidR="009D190E" w:rsidRPr="009D190E" w:rsidRDefault="009D190E" w:rsidP="009D190E">
      <w:pPr>
        <w:rPr>
          <w:u w:val="single"/>
        </w:rPr>
      </w:pPr>
      <w:r w:rsidRPr="009D190E">
        <w:rPr>
          <w:u w:val="single"/>
        </w:rPr>
        <w:t>Ostale investicije</w:t>
      </w:r>
    </w:p>
    <w:p w14:paraId="3A8AC1D1" w14:textId="77777777" w:rsidR="009D190E" w:rsidRPr="009D190E" w:rsidRDefault="009D190E" w:rsidP="009D190E">
      <w:pPr>
        <w:rPr>
          <w:u w:val="single"/>
        </w:rPr>
      </w:pPr>
    </w:p>
    <w:p w14:paraId="783A4F81" w14:textId="77777777" w:rsidR="009D190E" w:rsidRPr="009D190E" w:rsidRDefault="009D190E" w:rsidP="0094608E">
      <w:pPr>
        <w:pStyle w:val="Odlomakpopisa"/>
        <w:numPr>
          <w:ilvl w:val="0"/>
          <w:numId w:val="21"/>
        </w:numPr>
      </w:pPr>
      <w:r w:rsidRPr="009D190E">
        <w:t>Rekonstrukcija zidanog kanala Pragrande – uz zgradu glavne Pošte – završeni radovi</w:t>
      </w:r>
    </w:p>
    <w:p w14:paraId="70090D3C" w14:textId="77777777" w:rsidR="009D190E" w:rsidRPr="009D190E" w:rsidRDefault="009D190E" w:rsidP="0094608E">
      <w:pPr>
        <w:pStyle w:val="Odlomakpopisa"/>
        <w:numPr>
          <w:ilvl w:val="0"/>
          <w:numId w:val="21"/>
        </w:numPr>
      </w:pPr>
      <w:r w:rsidRPr="009D190E">
        <w:t>Izvanredno održavanje mješovitog sustava odvodnje i vodovodne mreže u Mutilskoj ulici – završeni radovi</w:t>
      </w:r>
    </w:p>
    <w:p w14:paraId="264D9CED" w14:textId="77777777" w:rsidR="009D190E" w:rsidRPr="009D190E" w:rsidRDefault="009D190E" w:rsidP="0094608E">
      <w:pPr>
        <w:pStyle w:val="Odlomakpopisa"/>
        <w:numPr>
          <w:ilvl w:val="0"/>
          <w:numId w:val="21"/>
        </w:numPr>
      </w:pPr>
      <w:r w:rsidRPr="009D190E">
        <w:t>Sanacija mješovitog sustava odvodnje u Mutilskoj ulici CIPP metodom – završeni radovi</w:t>
      </w:r>
    </w:p>
    <w:p w14:paraId="0A89F9C1" w14:textId="77777777" w:rsidR="009D190E" w:rsidRPr="009D190E" w:rsidRDefault="009D190E" w:rsidP="0094608E">
      <w:pPr>
        <w:pStyle w:val="Odlomakpopisa"/>
        <w:numPr>
          <w:ilvl w:val="0"/>
          <w:numId w:val="21"/>
        </w:numPr>
      </w:pPr>
      <w:r w:rsidRPr="009D190E">
        <w:t>Izvanredno održavanje sanitarnog kolektora u Tršćanskoj ulici – završeni radovi</w:t>
      </w:r>
    </w:p>
    <w:p w14:paraId="6A3F29CB" w14:textId="77777777" w:rsidR="009D190E" w:rsidRPr="009D190E" w:rsidRDefault="009D190E" w:rsidP="0094608E">
      <w:pPr>
        <w:pStyle w:val="Odlomakpopisa"/>
        <w:numPr>
          <w:ilvl w:val="0"/>
          <w:numId w:val="21"/>
        </w:numPr>
      </w:pPr>
      <w:r w:rsidRPr="009D190E">
        <w:t>Izvanredno održavanje – sanacija mješovite kanalizacije u dijelu Kranjčevićeve ulice u Puli – završeni radovi</w:t>
      </w:r>
    </w:p>
    <w:p w14:paraId="143331EE" w14:textId="77777777" w:rsidR="009D190E" w:rsidRPr="009D190E" w:rsidRDefault="009D190E" w:rsidP="009D190E"/>
    <w:p w14:paraId="0B0F417E" w14:textId="77777777" w:rsidR="009D190E" w:rsidRPr="009D190E" w:rsidRDefault="009D190E" w:rsidP="009D190E">
      <w:pPr>
        <w:spacing w:after="240"/>
      </w:pPr>
      <w:r w:rsidRPr="009D190E">
        <w:t>U nastavku pregled značajnih radova na sustavu održavanja vodoopskrbe tijekom 2024:</w:t>
      </w:r>
    </w:p>
    <w:p w14:paraId="635043EE" w14:textId="77777777" w:rsidR="009D190E" w:rsidRPr="009D190E" w:rsidRDefault="009D190E" w:rsidP="0094608E">
      <w:pPr>
        <w:pStyle w:val="Odlomakpopisa"/>
        <w:numPr>
          <w:ilvl w:val="0"/>
          <w:numId w:val="3"/>
        </w:numPr>
        <w:rPr>
          <w:rFonts w:eastAsia="Times New Roman"/>
        </w:rPr>
      </w:pPr>
      <w:r w:rsidRPr="009D190E">
        <w:rPr>
          <w:rFonts w:eastAsia="Times New Roman"/>
        </w:rPr>
        <w:t>Rekonstrukcija dijela vodovoda u Ližnjanu (150 m)</w:t>
      </w:r>
    </w:p>
    <w:p w14:paraId="194AF467" w14:textId="77777777" w:rsidR="009D190E" w:rsidRPr="009D190E" w:rsidRDefault="009D190E" w:rsidP="0094608E">
      <w:pPr>
        <w:pStyle w:val="Odlomakpopisa"/>
        <w:numPr>
          <w:ilvl w:val="0"/>
          <w:numId w:val="3"/>
        </w:numPr>
        <w:rPr>
          <w:rFonts w:eastAsia="Times New Roman"/>
        </w:rPr>
      </w:pPr>
      <w:r w:rsidRPr="009D190E">
        <w:rPr>
          <w:rFonts w:eastAsia="Times New Roman"/>
        </w:rPr>
        <w:t>Rekonstrukcija dijela vodovodne mreže u Krnici  (660 metara)</w:t>
      </w:r>
    </w:p>
    <w:p w14:paraId="6B8EDF51" w14:textId="77777777" w:rsidR="009D190E" w:rsidRPr="009D190E" w:rsidRDefault="009D190E" w:rsidP="0094608E">
      <w:pPr>
        <w:pStyle w:val="Odlomakpopisa"/>
        <w:numPr>
          <w:ilvl w:val="0"/>
          <w:numId w:val="3"/>
        </w:numPr>
        <w:rPr>
          <w:rFonts w:eastAsia="Times New Roman"/>
        </w:rPr>
      </w:pPr>
      <w:r w:rsidRPr="009D190E">
        <w:rPr>
          <w:rFonts w:eastAsia="Times New Roman"/>
        </w:rPr>
        <w:t>Rekonstrukcija dijela vodovodne mreže u Fažani (150 metara)</w:t>
      </w:r>
    </w:p>
    <w:p w14:paraId="631A26B4" w14:textId="77777777" w:rsidR="009D190E" w:rsidRPr="009D190E" w:rsidRDefault="009D190E" w:rsidP="0094608E">
      <w:pPr>
        <w:pStyle w:val="Odlomakpopisa"/>
        <w:numPr>
          <w:ilvl w:val="0"/>
          <w:numId w:val="3"/>
        </w:numPr>
        <w:rPr>
          <w:rFonts w:eastAsia="Times New Roman"/>
        </w:rPr>
      </w:pPr>
      <w:r w:rsidRPr="009D190E">
        <w:rPr>
          <w:rFonts w:eastAsia="Times New Roman"/>
        </w:rPr>
        <w:t>Izmještanje dijela vodovoda u Marčani (70 metara)</w:t>
      </w:r>
    </w:p>
    <w:p w14:paraId="7D4BA007" w14:textId="77777777" w:rsidR="009D190E" w:rsidRPr="009D190E" w:rsidRDefault="009D190E" w:rsidP="0094608E">
      <w:pPr>
        <w:pStyle w:val="Odlomakpopisa"/>
        <w:numPr>
          <w:ilvl w:val="0"/>
          <w:numId w:val="3"/>
        </w:numPr>
        <w:rPr>
          <w:rFonts w:eastAsia="Times New Roman"/>
        </w:rPr>
      </w:pPr>
      <w:r w:rsidRPr="009D190E">
        <w:rPr>
          <w:rFonts w:eastAsia="Times New Roman"/>
        </w:rPr>
        <w:t>Rekonstrukcija postojećeg vodovoda u Ferlinima (50 metara)</w:t>
      </w:r>
    </w:p>
    <w:p w14:paraId="5947282C" w14:textId="77777777" w:rsidR="009D190E" w:rsidRPr="009D190E" w:rsidRDefault="009D190E" w:rsidP="0094608E">
      <w:pPr>
        <w:pStyle w:val="Odlomakpopisa"/>
        <w:numPr>
          <w:ilvl w:val="0"/>
          <w:numId w:val="3"/>
        </w:numPr>
        <w:rPr>
          <w:rFonts w:eastAsia="Times New Roman"/>
        </w:rPr>
      </w:pPr>
      <w:r w:rsidRPr="009D190E">
        <w:rPr>
          <w:rFonts w:eastAsia="Times New Roman"/>
        </w:rPr>
        <w:t>Rekonstrukcija vodovoda Petrovićeva ulica (150 metara)</w:t>
      </w:r>
    </w:p>
    <w:p w14:paraId="19DD151A" w14:textId="77777777" w:rsidR="009D190E" w:rsidRPr="009D190E" w:rsidRDefault="009D190E" w:rsidP="0094608E">
      <w:pPr>
        <w:pStyle w:val="Odlomakpopisa"/>
        <w:numPr>
          <w:ilvl w:val="0"/>
          <w:numId w:val="3"/>
        </w:numPr>
        <w:rPr>
          <w:rFonts w:eastAsia="Times New Roman"/>
        </w:rPr>
      </w:pPr>
      <w:r w:rsidRPr="009D190E">
        <w:rPr>
          <w:rFonts w:eastAsia="Times New Roman"/>
        </w:rPr>
        <w:t>Rekonstrukcija vodovoda u Pazinskoj ulici - Zlatićev trg (400 metara)</w:t>
      </w:r>
    </w:p>
    <w:p w14:paraId="517F3640" w14:textId="77777777" w:rsidR="009D190E" w:rsidRPr="009D190E" w:rsidRDefault="009D190E" w:rsidP="0094608E">
      <w:pPr>
        <w:pStyle w:val="Odlomakpopisa"/>
        <w:numPr>
          <w:ilvl w:val="0"/>
          <w:numId w:val="3"/>
        </w:numPr>
        <w:rPr>
          <w:rFonts w:eastAsia="Times New Roman"/>
        </w:rPr>
      </w:pPr>
      <w:r w:rsidRPr="009D190E">
        <w:rPr>
          <w:rFonts w:eastAsia="Times New Roman"/>
        </w:rPr>
        <w:t>Rekonstrukcija vodovoda u Glavanima (100 metara)</w:t>
      </w:r>
    </w:p>
    <w:p w14:paraId="18510ABF" w14:textId="77777777" w:rsidR="009D190E" w:rsidRPr="009D190E" w:rsidRDefault="009D190E" w:rsidP="0094608E">
      <w:pPr>
        <w:pStyle w:val="Odlomakpopisa"/>
        <w:numPr>
          <w:ilvl w:val="0"/>
          <w:numId w:val="3"/>
        </w:numPr>
        <w:rPr>
          <w:rFonts w:eastAsia="Times New Roman"/>
        </w:rPr>
      </w:pPr>
      <w:r w:rsidRPr="009D190E">
        <w:rPr>
          <w:rFonts w:eastAsia="Times New Roman"/>
        </w:rPr>
        <w:t>Izmještanje vodovoda u Smoljancima (45 metara)</w:t>
      </w:r>
    </w:p>
    <w:p w14:paraId="7815FE86" w14:textId="77777777" w:rsidR="009D190E" w:rsidRPr="009D190E" w:rsidRDefault="009D190E" w:rsidP="0094608E">
      <w:pPr>
        <w:pStyle w:val="Odlomakpopisa"/>
        <w:numPr>
          <w:ilvl w:val="0"/>
          <w:numId w:val="3"/>
        </w:numPr>
        <w:rPr>
          <w:rFonts w:eastAsia="Times New Roman"/>
        </w:rPr>
      </w:pPr>
      <w:r w:rsidRPr="009D190E">
        <w:rPr>
          <w:rFonts w:eastAsia="Times New Roman"/>
        </w:rPr>
        <w:t>Rekonstrukcija vodovoda u Bunarskoj ulici u sklopu radova na više dionica (80 metara)</w:t>
      </w:r>
    </w:p>
    <w:p w14:paraId="7ED26345" w14:textId="77777777" w:rsidR="009D190E" w:rsidRPr="009D190E" w:rsidRDefault="009D190E" w:rsidP="0094608E">
      <w:pPr>
        <w:pStyle w:val="Odlomakpopisa"/>
        <w:numPr>
          <w:ilvl w:val="0"/>
          <w:numId w:val="3"/>
        </w:numPr>
        <w:rPr>
          <w:rFonts w:eastAsia="Times New Roman"/>
        </w:rPr>
      </w:pPr>
      <w:r w:rsidRPr="009D190E">
        <w:rPr>
          <w:rFonts w:eastAsia="Times New Roman"/>
        </w:rPr>
        <w:t>Rekonstrukcija vodovoda Burle (140 metara)</w:t>
      </w:r>
    </w:p>
    <w:p w14:paraId="6837535D" w14:textId="77777777" w:rsidR="009D190E" w:rsidRPr="009D190E" w:rsidRDefault="009D190E" w:rsidP="0094608E">
      <w:pPr>
        <w:pStyle w:val="Odlomakpopisa"/>
        <w:numPr>
          <w:ilvl w:val="0"/>
          <w:numId w:val="3"/>
        </w:numPr>
        <w:rPr>
          <w:rFonts w:eastAsia="Times New Roman"/>
        </w:rPr>
      </w:pPr>
      <w:r w:rsidRPr="009D190E">
        <w:rPr>
          <w:rFonts w:eastAsia="Times New Roman"/>
        </w:rPr>
        <w:t>Rekonstrukcija vodovoda Fažanska cesta (70 metara)</w:t>
      </w:r>
    </w:p>
    <w:p w14:paraId="2D85F605" w14:textId="77777777" w:rsidR="009D190E" w:rsidRDefault="009D190E" w:rsidP="009D190E">
      <w:pPr>
        <w:rPr>
          <w:b/>
          <w:bCs/>
        </w:rPr>
      </w:pPr>
    </w:p>
    <w:p w14:paraId="758C763D" w14:textId="77777777" w:rsidR="00FC0CA2" w:rsidRDefault="00FC0CA2" w:rsidP="009D190E">
      <w:pPr>
        <w:rPr>
          <w:b/>
          <w:bCs/>
        </w:rPr>
      </w:pPr>
    </w:p>
    <w:p w14:paraId="028237DB" w14:textId="77777777" w:rsidR="006A7310" w:rsidRDefault="006A7310" w:rsidP="009D190E">
      <w:pPr>
        <w:rPr>
          <w:b/>
          <w:bCs/>
        </w:rPr>
      </w:pPr>
    </w:p>
    <w:p w14:paraId="5F6A33BC" w14:textId="77777777" w:rsidR="006A7310" w:rsidRDefault="006A7310" w:rsidP="009D190E">
      <w:pPr>
        <w:rPr>
          <w:b/>
          <w:bCs/>
        </w:rPr>
      </w:pPr>
    </w:p>
    <w:p w14:paraId="7407EE48" w14:textId="77777777" w:rsidR="006A7310" w:rsidRDefault="006A7310" w:rsidP="009D190E">
      <w:pPr>
        <w:rPr>
          <w:b/>
          <w:bCs/>
        </w:rPr>
      </w:pPr>
    </w:p>
    <w:p w14:paraId="0112821A" w14:textId="77777777" w:rsidR="006A7310" w:rsidRDefault="006A7310" w:rsidP="009D190E">
      <w:pPr>
        <w:rPr>
          <w:b/>
          <w:bCs/>
        </w:rPr>
      </w:pPr>
    </w:p>
    <w:p w14:paraId="668E764D" w14:textId="77777777" w:rsidR="006A7310" w:rsidRPr="009D190E" w:rsidRDefault="006A7310" w:rsidP="009D190E">
      <w:pPr>
        <w:rPr>
          <w:b/>
          <w:bCs/>
        </w:rPr>
      </w:pPr>
    </w:p>
    <w:p w14:paraId="6FBAB3E3" w14:textId="77777777" w:rsidR="009D190E" w:rsidRPr="009D190E" w:rsidRDefault="009D190E" w:rsidP="009D190E">
      <w:pPr>
        <w:rPr>
          <w:b/>
          <w:bCs/>
          <w:i/>
          <w:iCs/>
        </w:rPr>
      </w:pPr>
      <w:r w:rsidRPr="009D190E">
        <w:rPr>
          <w:b/>
          <w:bCs/>
          <w:i/>
          <w:iCs/>
        </w:rPr>
        <w:lastRenderedPageBreak/>
        <w:t>Zaključak</w:t>
      </w:r>
    </w:p>
    <w:p w14:paraId="68940A64" w14:textId="77777777" w:rsidR="009D190E" w:rsidRPr="009D190E" w:rsidRDefault="009D190E" w:rsidP="009D190E">
      <w:pPr>
        <w:rPr>
          <w:i/>
          <w:iCs/>
        </w:rPr>
      </w:pPr>
    </w:p>
    <w:p w14:paraId="125F9325" w14:textId="77777777" w:rsidR="009D190E" w:rsidRPr="009D190E" w:rsidRDefault="009D190E" w:rsidP="009D190E">
      <w:r w:rsidRPr="009D190E">
        <w:t>Uprava izražava zadovoljstvo postignutim rezultatima, a  pogotovo rezultatom u smanjenju gubitaka vode u mreži, aktivacijom radova na Aglomeraciji Pula Sjever te postignutim       dogovorom u skladu sa Zakonom na uslužnom području 24, a što je rezultiralo Rješenjem Trgovačkog suda u Pazinu sa danom 28.02.2025.godine i uspostavom nove tvrtke pod nazivom Vodovod Pula-Labin d.o.o. za vodne usluge.</w:t>
      </w:r>
    </w:p>
    <w:p w14:paraId="779CACBC" w14:textId="77777777" w:rsidR="009D190E" w:rsidRPr="009D190E" w:rsidRDefault="009D190E" w:rsidP="009D190E">
      <w:r w:rsidRPr="009D190E">
        <w:t>Sve to ne bi bilo moguće bez svih dionika uključenih u rad Društva, bilo da su vlasnici Društva (čelnici JLS), bilo da su članovi Nadzornog odbora, bilo da su radnici Društva, korisnici i partneri.</w:t>
      </w:r>
    </w:p>
    <w:p w14:paraId="509B8E46" w14:textId="77777777" w:rsidR="009D190E" w:rsidRPr="009D190E" w:rsidRDefault="009D190E" w:rsidP="009D190E">
      <w:pPr>
        <w:rPr>
          <w:b/>
          <w:bCs/>
        </w:rPr>
      </w:pPr>
    </w:p>
    <w:p w14:paraId="7AADF582" w14:textId="77777777" w:rsidR="009D190E" w:rsidRPr="009D190E" w:rsidRDefault="009D190E" w:rsidP="009D190E">
      <w:r w:rsidRPr="009D190E">
        <w:t>Svima zahvaljujem na iskazanom doprinosu  i pozitivnom poslovanju u 2024. godini sa obećanjem da ćemo i dalje ulagati u održivu, sigurnu i učinkovitu vodoopskrbu i odvodnju.</w:t>
      </w:r>
    </w:p>
    <w:p w14:paraId="7EB07382" w14:textId="77777777" w:rsidR="009D190E" w:rsidRPr="009D190E" w:rsidRDefault="009D190E" w:rsidP="009D190E"/>
    <w:p w14:paraId="524C4906" w14:textId="77777777" w:rsidR="009D190E" w:rsidRPr="009D190E" w:rsidRDefault="009D190E" w:rsidP="009D190E"/>
    <w:p w14:paraId="539A3C53" w14:textId="77777777" w:rsidR="009D190E" w:rsidRPr="009D190E" w:rsidRDefault="009D190E" w:rsidP="009D190E">
      <w:r w:rsidRPr="009D190E">
        <w:t>Edo Krajcar, mag.oec., direktor</w:t>
      </w:r>
    </w:p>
    <w:p w14:paraId="0E76F699" w14:textId="77777777" w:rsidR="00995DA9" w:rsidRPr="005F7A84" w:rsidRDefault="00995DA9" w:rsidP="00A02495">
      <w:pPr>
        <w:pStyle w:val="Tijeloteksta2"/>
      </w:pPr>
    </w:p>
    <w:p w14:paraId="04DF0428" w14:textId="77777777" w:rsidR="005F7A84" w:rsidRPr="005F7A84" w:rsidRDefault="005F7A84" w:rsidP="00A02495">
      <w:pPr>
        <w:pStyle w:val="Tijeloteksta2"/>
      </w:pPr>
    </w:p>
    <w:p w14:paraId="7AAF2B53" w14:textId="77777777" w:rsidR="005F7A84" w:rsidRDefault="005F7A84" w:rsidP="00A02495">
      <w:pPr>
        <w:pStyle w:val="Tijeloteksta2"/>
      </w:pPr>
    </w:p>
    <w:p w14:paraId="2D1E0338" w14:textId="77777777" w:rsidR="005F7A84" w:rsidRDefault="005F7A84" w:rsidP="00A02495">
      <w:pPr>
        <w:pStyle w:val="Tijeloteksta2"/>
      </w:pPr>
    </w:p>
    <w:p w14:paraId="736E3CC1" w14:textId="77777777" w:rsidR="005F7A84" w:rsidRDefault="005F7A84" w:rsidP="00A02495">
      <w:pPr>
        <w:pStyle w:val="Tijeloteksta2"/>
      </w:pPr>
    </w:p>
    <w:p w14:paraId="671DA7E7" w14:textId="77777777" w:rsidR="005F7A84" w:rsidRDefault="005F7A84" w:rsidP="00A02495">
      <w:pPr>
        <w:pStyle w:val="Tijeloteksta2"/>
      </w:pPr>
    </w:p>
    <w:p w14:paraId="77BF496B" w14:textId="77777777" w:rsidR="005F7A84" w:rsidRDefault="005F7A84" w:rsidP="00A02495">
      <w:pPr>
        <w:pStyle w:val="Tijeloteksta2"/>
      </w:pPr>
    </w:p>
    <w:p w14:paraId="00707B6C" w14:textId="77777777" w:rsidR="005F7A84" w:rsidRDefault="005F7A84" w:rsidP="00A02495">
      <w:pPr>
        <w:pStyle w:val="Tijeloteksta2"/>
      </w:pPr>
    </w:p>
    <w:p w14:paraId="763B80EC" w14:textId="77777777" w:rsidR="005F7A84" w:rsidRDefault="005F7A84" w:rsidP="00A02495">
      <w:pPr>
        <w:pStyle w:val="Tijeloteksta2"/>
      </w:pPr>
    </w:p>
    <w:p w14:paraId="63CDE1C2" w14:textId="77777777" w:rsidR="005F7A84" w:rsidRDefault="005F7A84" w:rsidP="00A02495">
      <w:pPr>
        <w:pStyle w:val="Tijeloteksta2"/>
      </w:pPr>
    </w:p>
    <w:p w14:paraId="6C5AB6CD" w14:textId="77777777" w:rsidR="005F7A84" w:rsidRDefault="005F7A84" w:rsidP="00A02495">
      <w:pPr>
        <w:pStyle w:val="Tijeloteksta2"/>
      </w:pPr>
    </w:p>
    <w:p w14:paraId="6F23C2D1" w14:textId="77777777" w:rsidR="005F7A84" w:rsidRDefault="005F7A84" w:rsidP="00A02495">
      <w:pPr>
        <w:pStyle w:val="Tijeloteksta2"/>
      </w:pPr>
    </w:p>
    <w:p w14:paraId="49F5BEF1" w14:textId="77777777" w:rsidR="005F7A84" w:rsidRDefault="005F7A84" w:rsidP="00A02495">
      <w:pPr>
        <w:pStyle w:val="Tijeloteksta2"/>
      </w:pPr>
    </w:p>
    <w:p w14:paraId="73AAF67E" w14:textId="77777777" w:rsidR="005F7A84" w:rsidRDefault="005F7A84" w:rsidP="00A02495">
      <w:pPr>
        <w:pStyle w:val="Tijeloteksta2"/>
      </w:pPr>
    </w:p>
    <w:p w14:paraId="00BF42E7" w14:textId="77777777" w:rsidR="005F7A84" w:rsidRDefault="005F7A84" w:rsidP="00A02495">
      <w:pPr>
        <w:pStyle w:val="Tijeloteksta2"/>
      </w:pPr>
    </w:p>
    <w:p w14:paraId="44764699" w14:textId="77777777" w:rsidR="00AA0C0F" w:rsidRDefault="00AA0C0F" w:rsidP="00A02495">
      <w:pPr>
        <w:pStyle w:val="Tijeloteksta2"/>
      </w:pPr>
    </w:p>
    <w:p w14:paraId="087F3BA5" w14:textId="77777777" w:rsidR="00AA0C0F" w:rsidRDefault="00AA0C0F" w:rsidP="00A02495">
      <w:pPr>
        <w:pStyle w:val="Tijeloteksta2"/>
      </w:pPr>
    </w:p>
    <w:p w14:paraId="141FE2A4" w14:textId="77777777" w:rsidR="00AA0C0F" w:rsidRDefault="00AA0C0F" w:rsidP="00A02495">
      <w:pPr>
        <w:pStyle w:val="Tijeloteksta2"/>
      </w:pPr>
    </w:p>
    <w:p w14:paraId="26465BD0" w14:textId="77777777" w:rsidR="004D2A2E" w:rsidRDefault="004D2A2E" w:rsidP="004D2A2E">
      <w:pPr>
        <w:pStyle w:val="Standard"/>
        <w:tabs>
          <w:tab w:val="left" w:pos="8218"/>
        </w:tabs>
        <w:spacing w:after="0"/>
        <w:ind w:left="3540" w:firstLine="708"/>
        <w:rPr>
          <w:rFonts w:ascii="Cambria" w:hAnsi="Cambria"/>
          <w:b/>
          <w:color w:val="17365D"/>
          <w:sz w:val="28"/>
          <w:szCs w:val="28"/>
        </w:rPr>
      </w:pPr>
    </w:p>
    <w:p w14:paraId="743CF0CF" w14:textId="77777777" w:rsidR="00995DA9" w:rsidRDefault="00995DA9" w:rsidP="004D2A2E">
      <w:pPr>
        <w:pStyle w:val="Standard"/>
        <w:tabs>
          <w:tab w:val="left" w:pos="8218"/>
        </w:tabs>
        <w:spacing w:after="0"/>
        <w:ind w:left="3540" w:firstLine="708"/>
        <w:rPr>
          <w:rFonts w:ascii="Cambria" w:hAnsi="Cambria"/>
          <w:b/>
          <w:color w:val="17365D"/>
          <w:sz w:val="28"/>
          <w:szCs w:val="28"/>
        </w:rPr>
      </w:pPr>
    </w:p>
    <w:p w14:paraId="60EF2285" w14:textId="77777777" w:rsidR="00995DA9" w:rsidRDefault="00995DA9" w:rsidP="004D2A2E">
      <w:pPr>
        <w:pStyle w:val="Standard"/>
        <w:tabs>
          <w:tab w:val="left" w:pos="8218"/>
        </w:tabs>
        <w:spacing w:after="0"/>
        <w:ind w:left="3540" w:firstLine="708"/>
        <w:rPr>
          <w:rFonts w:ascii="Cambria" w:hAnsi="Cambria"/>
          <w:b/>
          <w:color w:val="17365D"/>
          <w:sz w:val="28"/>
          <w:szCs w:val="28"/>
        </w:rPr>
      </w:pPr>
    </w:p>
    <w:p w14:paraId="510C22C1" w14:textId="77777777" w:rsidR="00995DA9" w:rsidRDefault="00995DA9" w:rsidP="004D2A2E">
      <w:pPr>
        <w:pStyle w:val="Standard"/>
        <w:tabs>
          <w:tab w:val="left" w:pos="8218"/>
        </w:tabs>
        <w:spacing w:after="0"/>
        <w:ind w:left="3540" w:firstLine="708"/>
        <w:rPr>
          <w:rFonts w:ascii="Cambria" w:hAnsi="Cambria"/>
          <w:b/>
          <w:color w:val="17365D"/>
          <w:sz w:val="28"/>
          <w:szCs w:val="28"/>
        </w:rPr>
      </w:pPr>
    </w:p>
    <w:p w14:paraId="504FDA4A" w14:textId="77777777" w:rsidR="00B1715B" w:rsidRDefault="00B1715B" w:rsidP="004D2A2E">
      <w:pPr>
        <w:pStyle w:val="Standard"/>
        <w:tabs>
          <w:tab w:val="left" w:pos="8218"/>
        </w:tabs>
        <w:spacing w:after="0"/>
        <w:ind w:left="3540" w:firstLine="708"/>
        <w:rPr>
          <w:rFonts w:ascii="Cambria" w:hAnsi="Cambria"/>
          <w:b/>
          <w:color w:val="17365D"/>
          <w:sz w:val="28"/>
          <w:szCs w:val="28"/>
        </w:rPr>
      </w:pPr>
    </w:p>
    <w:p w14:paraId="2C40E0CC" w14:textId="77777777" w:rsidR="00B1715B" w:rsidRDefault="00B1715B" w:rsidP="004D2A2E">
      <w:pPr>
        <w:pStyle w:val="Standard"/>
        <w:tabs>
          <w:tab w:val="left" w:pos="8218"/>
        </w:tabs>
        <w:spacing w:after="0"/>
        <w:ind w:left="3540" w:firstLine="708"/>
        <w:rPr>
          <w:rFonts w:ascii="Cambria" w:hAnsi="Cambria"/>
          <w:b/>
          <w:color w:val="17365D"/>
          <w:sz w:val="28"/>
          <w:szCs w:val="28"/>
        </w:rPr>
      </w:pPr>
    </w:p>
    <w:p w14:paraId="3042D9C9" w14:textId="77777777" w:rsidR="00B1715B" w:rsidRDefault="00B1715B" w:rsidP="004D2A2E">
      <w:pPr>
        <w:pStyle w:val="Standard"/>
        <w:tabs>
          <w:tab w:val="left" w:pos="8218"/>
        </w:tabs>
        <w:spacing w:after="0"/>
        <w:ind w:left="3540" w:firstLine="708"/>
        <w:rPr>
          <w:rFonts w:ascii="Cambria" w:hAnsi="Cambria"/>
          <w:b/>
          <w:color w:val="17365D"/>
          <w:sz w:val="28"/>
          <w:szCs w:val="28"/>
        </w:rPr>
      </w:pPr>
    </w:p>
    <w:p w14:paraId="006AE12D" w14:textId="77777777" w:rsidR="00B1715B" w:rsidRDefault="00B1715B" w:rsidP="004D2A2E">
      <w:pPr>
        <w:pStyle w:val="Standard"/>
        <w:tabs>
          <w:tab w:val="left" w:pos="8218"/>
        </w:tabs>
        <w:spacing w:after="0"/>
        <w:ind w:left="3540" w:firstLine="708"/>
        <w:rPr>
          <w:rFonts w:ascii="Cambria" w:hAnsi="Cambria"/>
          <w:b/>
          <w:color w:val="17365D"/>
          <w:sz w:val="28"/>
          <w:szCs w:val="28"/>
        </w:rPr>
      </w:pPr>
    </w:p>
    <w:p w14:paraId="6DED9320" w14:textId="77777777" w:rsidR="00B1715B" w:rsidRDefault="00B1715B" w:rsidP="004D2A2E">
      <w:pPr>
        <w:pStyle w:val="Standard"/>
        <w:tabs>
          <w:tab w:val="left" w:pos="8218"/>
        </w:tabs>
        <w:spacing w:after="0"/>
        <w:ind w:left="3540" w:firstLine="708"/>
        <w:rPr>
          <w:rFonts w:ascii="Cambria" w:hAnsi="Cambria"/>
          <w:b/>
          <w:color w:val="17365D"/>
          <w:sz w:val="28"/>
          <w:szCs w:val="28"/>
        </w:rPr>
      </w:pPr>
    </w:p>
    <w:p w14:paraId="766335D5" w14:textId="77777777" w:rsidR="00B1715B" w:rsidRDefault="00B1715B" w:rsidP="004D2A2E">
      <w:pPr>
        <w:pStyle w:val="Standard"/>
        <w:tabs>
          <w:tab w:val="left" w:pos="8218"/>
        </w:tabs>
        <w:spacing w:after="0"/>
        <w:ind w:left="3540" w:firstLine="708"/>
        <w:rPr>
          <w:rFonts w:ascii="Cambria" w:hAnsi="Cambria"/>
          <w:b/>
          <w:color w:val="17365D"/>
          <w:sz w:val="28"/>
          <w:szCs w:val="28"/>
        </w:rPr>
      </w:pPr>
    </w:p>
    <w:p w14:paraId="5E76AEAD" w14:textId="77777777" w:rsidR="00B1715B" w:rsidRDefault="00B1715B" w:rsidP="004D2A2E">
      <w:pPr>
        <w:pStyle w:val="Standard"/>
        <w:tabs>
          <w:tab w:val="left" w:pos="8218"/>
        </w:tabs>
        <w:spacing w:after="0"/>
        <w:ind w:left="3540" w:firstLine="708"/>
        <w:rPr>
          <w:rFonts w:ascii="Cambria" w:hAnsi="Cambria"/>
          <w:b/>
          <w:color w:val="17365D"/>
          <w:sz w:val="28"/>
          <w:szCs w:val="28"/>
        </w:rPr>
      </w:pPr>
    </w:p>
    <w:p w14:paraId="56C9CC26" w14:textId="77777777" w:rsidR="00B1715B" w:rsidRDefault="00B1715B" w:rsidP="004D2A2E">
      <w:pPr>
        <w:pStyle w:val="Standard"/>
        <w:tabs>
          <w:tab w:val="left" w:pos="8218"/>
        </w:tabs>
        <w:spacing w:after="0"/>
        <w:ind w:left="3540" w:firstLine="708"/>
        <w:rPr>
          <w:rFonts w:ascii="Cambria" w:hAnsi="Cambria"/>
          <w:b/>
          <w:color w:val="17365D"/>
          <w:sz w:val="28"/>
          <w:szCs w:val="28"/>
        </w:rPr>
      </w:pPr>
    </w:p>
    <w:p w14:paraId="085CF66A" w14:textId="77777777" w:rsidR="00B1715B" w:rsidRDefault="00B1715B" w:rsidP="004D2A2E">
      <w:pPr>
        <w:pStyle w:val="Standard"/>
        <w:tabs>
          <w:tab w:val="left" w:pos="8218"/>
        </w:tabs>
        <w:spacing w:after="0"/>
        <w:ind w:left="3540" w:firstLine="708"/>
        <w:rPr>
          <w:rFonts w:ascii="Cambria" w:hAnsi="Cambria"/>
          <w:b/>
          <w:color w:val="17365D"/>
          <w:sz w:val="28"/>
          <w:szCs w:val="28"/>
        </w:rPr>
      </w:pPr>
    </w:p>
    <w:p w14:paraId="70AF6C4F" w14:textId="77777777" w:rsidR="00B1715B" w:rsidRDefault="00B1715B" w:rsidP="004D2A2E">
      <w:pPr>
        <w:pStyle w:val="Standard"/>
        <w:tabs>
          <w:tab w:val="left" w:pos="8218"/>
        </w:tabs>
        <w:spacing w:after="0"/>
        <w:ind w:left="3540" w:firstLine="708"/>
        <w:rPr>
          <w:rFonts w:ascii="Cambria" w:hAnsi="Cambria"/>
          <w:b/>
          <w:color w:val="17365D"/>
          <w:sz w:val="28"/>
          <w:szCs w:val="28"/>
        </w:rPr>
      </w:pPr>
    </w:p>
    <w:p w14:paraId="32294869" w14:textId="77777777" w:rsidR="00B1715B" w:rsidRDefault="00B1715B" w:rsidP="004D2A2E">
      <w:pPr>
        <w:pStyle w:val="Standard"/>
        <w:tabs>
          <w:tab w:val="left" w:pos="8218"/>
        </w:tabs>
        <w:spacing w:after="0"/>
        <w:ind w:left="3540" w:firstLine="708"/>
        <w:rPr>
          <w:rFonts w:ascii="Cambria" w:hAnsi="Cambria"/>
          <w:b/>
          <w:color w:val="17365D"/>
          <w:sz w:val="28"/>
          <w:szCs w:val="28"/>
        </w:rPr>
      </w:pPr>
    </w:p>
    <w:p w14:paraId="43E8C4E3" w14:textId="77777777" w:rsidR="00B1715B" w:rsidRDefault="00B1715B" w:rsidP="004D2A2E">
      <w:pPr>
        <w:pStyle w:val="Standard"/>
        <w:tabs>
          <w:tab w:val="left" w:pos="8218"/>
        </w:tabs>
        <w:spacing w:after="0"/>
        <w:ind w:left="3540" w:firstLine="708"/>
        <w:rPr>
          <w:rFonts w:ascii="Cambria" w:hAnsi="Cambria"/>
          <w:b/>
          <w:color w:val="17365D"/>
          <w:sz w:val="28"/>
          <w:szCs w:val="28"/>
        </w:rPr>
      </w:pPr>
    </w:p>
    <w:p w14:paraId="572A04C4" w14:textId="77777777" w:rsidR="00B1715B" w:rsidRDefault="00B1715B" w:rsidP="004D2A2E">
      <w:pPr>
        <w:pStyle w:val="Standard"/>
        <w:tabs>
          <w:tab w:val="left" w:pos="8218"/>
        </w:tabs>
        <w:spacing w:after="0"/>
        <w:ind w:left="3540" w:firstLine="708"/>
        <w:rPr>
          <w:rFonts w:ascii="Cambria" w:hAnsi="Cambria"/>
          <w:b/>
          <w:color w:val="17365D"/>
          <w:sz w:val="28"/>
          <w:szCs w:val="28"/>
        </w:rPr>
      </w:pPr>
    </w:p>
    <w:p w14:paraId="2EA4127B" w14:textId="77777777" w:rsidR="00B1715B" w:rsidRDefault="00B1715B" w:rsidP="004D2A2E">
      <w:pPr>
        <w:pStyle w:val="Standard"/>
        <w:tabs>
          <w:tab w:val="left" w:pos="8218"/>
        </w:tabs>
        <w:spacing w:after="0"/>
        <w:ind w:left="3540" w:firstLine="708"/>
        <w:rPr>
          <w:rFonts w:ascii="Cambria" w:hAnsi="Cambria"/>
          <w:b/>
          <w:color w:val="17365D"/>
          <w:sz w:val="28"/>
          <w:szCs w:val="28"/>
        </w:rPr>
      </w:pPr>
    </w:p>
    <w:p w14:paraId="455EE8FB" w14:textId="77777777" w:rsidR="00B1715B" w:rsidRDefault="00B1715B" w:rsidP="004D2A2E">
      <w:pPr>
        <w:pStyle w:val="Standard"/>
        <w:tabs>
          <w:tab w:val="left" w:pos="8218"/>
        </w:tabs>
        <w:spacing w:after="0"/>
        <w:ind w:left="3540" w:firstLine="708"/>
        <w:rPr>
          <w:rFonts w:ascii="Cambria" w:hAnsi="Cambria"/>
          <w:b/>
          <w:color w:val="17365D"/>
          <w:sz w:val="28"/>
          <w:szCs w:val="28"/>
        </w:rPr>
      </w:pPr>
    </w:p>
    <w:p w14:paraId="19048FEF" w14:textId="77777777" w:rsidR="00B1715B" w:rsidRDefault="00B1715B" w:rsidP="004D2A2E">
      <w:pPr>
        <w:pStyle w:val="Standard"/>
        <w:tabs>
          <w:tab w:val="left" w:pos="8218"/>
        </w:tabs>
        <w:spacing w:after="0"/>
        <w:ind w:left="3540" w:firstLine="708"/>
        <w:rPr>
          <w:rFonts w:ascii="Cambria" w:hAnsi="Cambria"/>
          <w:b/>
          <w:color w:val="17365D"/>
          <w:sz w:val="28"/>
          <w:szCs w:val="28"/>
        </w:rPr>
      </w:pPr>
    </w:p>
    <w:p w14:paraId="655495AA" w14:textId="77777777" w:rsidR="00B1715B" w:rsidRDefault="00B1715B" w:rsidP="004D2A2E">
      <w:pPr>
        <w:pStyle w:val="Standard"/>
        <w:tabs>
          <w:tab w:val="left" w:pos="8218"/>
        </w:tabs>
        <w:spacing w:after="0"/>
        <w:ind w:left="3540" w:firstLine="708"/>
        <w:rPr>
          <w:rFonts w:ascii="Cambria" w:hAnsi="Cambria"/>
          <w:b/>
          <w:color w:val="17365D"/>
          <w:sz w:val="28"/>
          <w:szCs w:val="28"/>
        </w:rPr>
      </w:pPr>
    </w:p>
    <w:p w14:paraId="58389BCF" w14:textId="77777777" w:rsidR="00B1715B" w:rsidRDefault="00B1715B" w:rsidP="004D2A2E">
      <w:pPr>
        <w:pStyle w:val="Standard"/>
        <w:tabs>
          <w:tab w:val="left" w:pos="8218"/>
        </w:tabs>
        <w:spacing w:after="0"/>
        <w:ind w:left="3540" w:firstLine="708"/>
        <w:rPr>
          <w:rFonts w:ascii="Cambria" w:hAnsi="Cambria"/>
          <w:b/>
          <w:color w:val="17365D"/>
          <w:sz w:val="28"/>
          <w:szCs w:val="28"/>
        </w:rPr>
      </w:pPr>
    </w:p>
    <w:p w14:paraId="3246784E" w14:textId="77777777" w:rsidR="00B1715B" w:rsidRDefault="00B1715B" w:rsidP="004D2A2E">
      <w:pPr>
        <w:pStyle w:val="Standard"/>
        <w:tabs>
          <w:tab w:val="left" w:pos="8218"/>
        </w:tabs>
        <w:spacing w:after="0"/>
        <w:ind w:left="3540" w:firstLine="708"/>
        <w:rPr>
          <w:rFonts w:ascii="Cambria" w:hAnsi="Cambria"/>
          <w:b/>
          <w:color w:val="17365D"/>
          <w:sz w:val="28"/>
          <w:szCs w:val="28"/>
        </w:rPr>
      </w:pPr>
    </w:p>
    <w:p w14:paraId="1CAE4952" w14:textId="77777777" w:rsidR="00B1715B" w:rsidRDefault="00B1715B" w:rsidP="004D2A2E">
      <w:pPr>
        <w:pStyle w:val="Standard"/>
        <w:tabs>
          <w:tab w:val="left" w:pos="8218"/>
        </w:tabs>
        <w:spacing w:after="0"/>
        <w:ind w:left="3540" w:firstLine="708"/>
        <w:rPr>
          <w:rFonts w:ascii="Cambria" w:hAnsi="Cambria"/>
          <w:b/>
          <w:color w:val="17365D"/>
          <w:sz w:val="28"/>
          <w:szCs w:val="28"/>
        </w:rPr>
      </w:pPr>
    </w:p>
    <w:p w14:paraId="505E3D69" w14:textId="77777777" w:rsidR="00B1715B" w:rsidRDefault="00B1715B" w:rsidP="004D2A2E">
      <w:pPr>
        <w:pStyle w:val="Standard"/>
        <w:tabs>
          <w:tab w:val="left" w:pos="8218"/>
        </w:tabs>
        <w:spacing w:after="0"/>
        <w:ind w:left="3540" w:firstLine="708"/>
        <w:rPr>
          <w:rFonts w:ascii="Cambria" w:hAnsi="Cambria"/>
          <w:b/>
          <w:color w:val="17365D"/>
          <w:sz w:val="28"/>
          <w:szCs w:val="28"/>
        </w:rPr>
      </w:pPr>
    </w:p>
    <w:p w14:paraId="61D9654E" w14:textId="77777777" w:rsidR="00B1715B" w:rsidRDefault="00B1715B" w:rsidP="004D2A2E">
      <w:pPr>
        <w:pStyle w:val="Standard"/>
        <w:tabs>
          <w:tab w:val="left" w:pos="8218"/>
        </w:tabs>
        <w:spacing w:after="0"/>
        <w:ind w:left="3540" w:firstLine="708"/>
        <w:rPr>
          <w:rFonts w:ascii="Cambria" w:hAnsi="Cambria"/>
          <w:b/>
          <w:color w:val="17365D"/>
          <w:sz w:val="28"/>
          <w:szCs w:val="28"/>
        </w:rPr>
      </w:pPr>
    </w:p>
    <w:p w14:paraId="47D766B5" w14:textId="77777777" w:rsidR="00B1715B" w:rsidRDefault="00B1715B" w:rsidP="004D2A2E">
      <w:pPr>
        <w:pStyle w:val="Standard"/>
        <w:tabs>
          <w:tab w:val="left" w:pos="8218"/>
        </w:tabs>
        <w:spacing w:after="0"/>
        <w:ind w:left="3540" w:firstLine="708"/>
        <w:rPr>
          <w:rFonts w:ascii="Cambria" w:hAnsi="Cambria"/>
          <w:b/>
          <w:color w:val="17365D"/>
          <w:sz w:val="28"/>
          <w:szCs w:val="28"/>
        </w:rPr>
      </w:pPr>
    </w:p>
    <w:p w14:paraId="6EE13157" w14:textId="77777777" w:rsidR="00B1715B" w:rsidRDefault="00B1715B" w:rsidP="004D2A2E">
      <w:pPr>
        <w:pStyle w:val="Standard"/>
        <w:tabs>
          <w:tab w:val="left" w:pos="8218"/>
        </w:tabs>
        <w:spacing w:after="0"/>
        <w:ind w:left="3540" w:firstLine="708"/>
        <w:rPr>
          <w:rFonts w:ascii="Cambria" w:hAnsi="Cambria"/>
          <w:b/>
          <w:color w:val="17365D"/>
          <w:sz w:val="28"/>
          <w:szCs w:val="28"/>
        </w:rPr>
      </w:pPr>
    </w:p>
    <w:p w14:paraId="2B1F8C8F" w14:textId="77777777" w:rsidR="00B1715B" w:rsidRDefault="00B1715B" w:rsidP="004D2A2E">
      <w:pPr>
        <w:pStyle w:val="Standard"/>
        <w:tabs>
          <w:tab w:val="left" w:pos="8218"/>
        </w:tabs>
        <w:spacing w:after="0"/>
        <w:ind w:left="3540" w:firstLine="708"/>
        <w:rPr>
          <w:rFonts w:ascii="Cambria" w:hAnsi="Cambria"/>
          <w:b/>
          <w:color w:val="17365D"/>
          <w:sz w:val="28"/>
          <w:szCs w:val="28"/>
        </w:rPr>
      </w:pPr>
    </w:p>
    <w:p w14:paraId="790A2C1C" w14:textId="77777777" w:rsidR="00B1715B" w:rsidRDefault="00B1715B" w:rsidP="004D2A2E">
      <w:pPr>
        <w:pStyle w:val="Standard"/>
        <w:tabs>
          <w:tab w:val="left" w:pos="8218"/>
        </w:tabs>
        <w:spacing w:after="0"/>
        <w:ind w:left="3540" w:firstLine="708"/>
        <w:rPr>
          <w:rFonts w:ascii="Cambria" w:hAnsi="Cambria"/>
          <w:b/>
          <w:color w:val="17365D"/>
          <w:sz w:val="28"/>
          <w:szCs w:val="28"/>
        </w:rPr>
      </w:pPr>
    </w:p>
    <w:p w14:paraId="599E292B" w14:textId="77777777" w:rsidR="00995DA9" w:rsidRDefault="00995DA9" w:rsidP="004D2A2E">
      <w:pPr>
        <w:pStyle w:val="Standard"/>
        <w:tabs>
          <w:tab w:val="left" w:pos="8218"/>
        </w:tabs>
        <w:spacing w:after="0"/>
        <w:ind w:left="3540" w:firstLine="708"/>
        <w:rPr>
          <w:rFonts w:ascii="Cambria" w:hAnsi="Cambria"/>
          <w:b/>
          <w:color w:val="17365D"/>
          <w:sz w:val="28"/>
          <w:szCs w:val="28"/>
        </w:rPr>
      </w:pPr>
    </w:p>
    <w:p w14:paraId="239E3568" w14:textId="77777777" w:rsidR="00995DA9" w:rsidRDefault="00995DA9" w:rsidP="004D2A2E">
      <w:pPr>
        <w:pStyle w:val="Standard"/>
        <w:tabs>
          <w:tab w:val="left" w:pos="8218"/>
        </w:tabs>
        <w:spacing w:after="0"/>
        <w:ind w:left="3540" w:firstLine="708"/>
        <w:rPr>
          <w:rFonts w:ascii="Cambria" w:hAnsi="Cambria"/>
          <w:b/>
          <w:color w:val="17365D"/>
          <w:sz w:val="28"/>
          <w:szCs w:val="28"/>
        </w:rPr>
      </w:pPr>
    </w:p>
    <w:p w14:paraId="0773A802" w14:textId="77777777" w:rsidR="00995DA9" w:rsidRDefault="00995DA9" w:rsidP="004D2A2E">
      <w:pPr>
        <w:pStyle w:val="Standard"/>
        <w:tabs>
          <w:tab w:val="left" w:pos="8218"/>
        </w:tabs>
        <w:spacing w:after="0"/>
        <w:ind w:left="3540" w:firstLine="708"/>
        <w:rPr>
          <w:rFonts w:ascii="Cambria" w:hAnsi="Cambria"/>
          <w:b/>
          <w:color w:val="17365D"/>
          <w:sz w:val="28"/>
          <w:szCs w:val="28"/>
        </w:rPr>
      </w:pPr>
    </w:p>
    <w:p w14:paraId="7B01044E" w14:textId="77777777" w:rsidR="004D2A2E" w:rsidRDefault="004D2A2E" w:rsidP="004D2A2E">
      <w:pPr>
        <w:pStyle w:val="Standard"/>
        <w:pBdr>
          <w:bottom w:val="single" w:sz="18" w:space="1" w:color="000080"/>
        </w:pBdr>
        <w:tabs>
          <w:tab w:val="left" w:pos="4678"/>
        </w:tabs>
        <w:spacing w:after="0"/>
        <w:rPr>
          <w:rFonts w:ascii="Cambria" w:hAnsi="Cambria"/>
          <w:color w:val="262626"/>
          <w:sz w:val="56"/>
          <w:szCs w:val="72"/>
        </w:rPr>
      </w:pPr>
      <w:r>
        <w:rPr>
          <w:rFonts w:ascii="Cambria" w:hAnsi="Cambria"/>
          <w:color w:val="262626"/>
          <w:sz w:val="56"/>
          <w:szCs w:val="72"/>
        </w:rPr>
        <w:t>Izvještaji o poslovanju</w:t>
      </w:r>
    </w:p>
    <w:p w14:paraId="710F0B49" w14:textId="77777777" w:rsidR="004D2A2E" w:rsidRDefault="004D2A2E" w:rsidP="004D2A2E">
      <w:pPr>
        <w:pStyle w:val="Standard"/>
        <w:spacing w:after="0"/>
        <w:rPr>
          <w:rFonts w:ascii="Cambria" w:hAnsi="Cambria"/>
          <w:b/>
          <w:color w:val="262626"/>
          <w:sz w:val="20"/>
        </w:rPr>
      </w:pPr>
    </w:p>
    <w:p w14:paraId="6930DF89" w14:textId="77777777" w:rsidR="004D2A2E" w:rsidRDefault="004D2A2E" w:rsidP="004D2A2E">
      <w:pPr>
        <w:pStyle w:val="Standard"/>
        <w:spacing w:after="0" w:line="360" w:lineRule="auto"/>
        <w:rPr>
          <w:rFonts w:ascii="Cambria" w:hAnsi="Cambria"/>
          <w:b/>
          <w:color w:val="262626"/>
          <w:sz w:val="20"/>
        </w:rPr>
      </w:pPr>
    </w:p>
    <w:p w14:paraId="12FC79E4" w14:textId="77777777" w:rsidR="004D2A2E" w:rsidRDefault="004D2A2E" w:rsidP="004D2A2E">
      <w:pPr>
        <w:pStyle w:val="Standard"/>
        <w:spacing w:after="0" w:line="360" w:lineRule="auto"/>
      </w:pPr>
      <w:r>
        <w:rPr>
          <w:rFonts w:ascii="Cambria" w:hAnsi="Cambria"/>
          <w:color w:val="262626"/>
          <w:szCs w:val="32"/>
        </w:rPr>
        <w:t xml:space="preserve">Izvještaj 1. </w:t>
      </w:r>
      <w:r>
        <w:rPr>
          <w:rFonts w:ascii="Cambria" w:hAnsi="Cambria"/>
          <w:color w:val="262626"/>
          <w:szCs w:val="32"/>
        </w:rPr>
        <w:tab/>
      </w:r>
      <w:r>
        <w:rPr>
          <w:rFonts w:ascii="Cambria" w:hAnsi="Cambria"/>
          <w:b/>
          <w:color w:val="262626"/>
          <w:szCs w:val="32"/>
        </w:rPr>
        <w:t>Imovina</w:t>
      </w:r>
    </w:p>
    <w:p w14:paraId="7ADCE19D" w14:textId="77777777" w:rsidR="004D2A2E" w:rsidRDefault="004D2A2E" w:rsidP="004D2A2E">
      <w:pPr>
        <w:pStyle w:val="Standard"/>
        <w:spacing w:after="0" w:line="360" w:lineRule="auto"/>
      </w:pPr>
      <w:r>
        <w:rPr>
          <w:rFonts w:ascii="Cambria" w:hAnsi="Cambria"/>
          <w:color w:val="262626"/>
          <w:szCs w:val="32"/>
        </w:rPr>
        <w:t xml:space="preserve">Izvještaj 2. </w:t>
      </w:r>
      <w:r>
        <w:rPr>
          <w:rFonts w:ascii="Cambria" w:hAnsi="Cambria"/>
          <w:color w:val="262626"/>
          <w:szCs w:val="32"/>
        </w:rPr>
        <w:tab/>
      </w:r>
      <w:r>
        <w:rPr>
          <w:rFonts w:ascii="Cambria" w:hAnsi="Cambria"/>
          <w:b/>
          <w:color w:val="262626"/>
          <w:szCs w:val="32"/>
        </w:rPr>
        <w:t>Kapital i obveze</w:t>
      </w:r>
    </w:p>
    <w:p w14:paraId="06C8304F" w14:textId="77777777" w:rsidR="004D2A2E" w:rsidRDefault="004D2A2E" w:rsidP="004D2A2E">
      <w:pPr>
        <w:pStyle w:val="Standard"/>
        <w:spacing w:after="0" w:line="360" w:lineRule="auto"/>
      </w:pPr>
      <w:r>
        <w:rPr>
          <w:rFonts w:ascii="Cambria" w:hAnsi="Cambria"/>
          <w:color w:val="262626"/>
          <w:szCs w:val="32"/>
        </w:rPr>
        <w:t xml:space="preserve">Izvještaj 3. </w:t>
      </w:r>
      <w:r>
        <w:rPr>
          <w:rFonts w:ascii="Cambria" w:hAnsi="Cambria"/>
          <w:color w:val="262626"/>
          <w:szCs w:val="32"/>
        </w:rPr>
        <w:tab/>
      </w:r>
      <w:r>
        <w:rPr>
          <w:rFonts w:ascii="Cambria" w:hAnsi="Cambria"/>
          <w:b/>
          <w:color w:val="262626"/>
          <w:szCs w:val="32"/>
        </w:rPr>
        <w:t>Prihodi i rashodi</w:t>
      </w:r>
    </w:p>
    <w:p w14:paraId="48F20C4F" w14:textId="77777777" w:rsidR="004D2A2E" w:rsidRDefault="004D2A2E" w:rsidP="004D2A2E">
      <w:pPr>
        <w:pStyle w:val="Standard"/>
        <w:spacing w:after="0" w:line="360" w:lineRule="auto"/>
      </w:pPr>
      <w:r>
        <w:rPr>
          <w:rFonts w:ascii="Cambria" w:hAnsi="Cambria"/>
          <w:color w:val="262626"/>
          <w:szCs w:val="32"/>
        </w:rPr>
        <w:t xml:space="preserve">Izvještaj 4. </w:t>
      </w:r>
      <w:r>
        <w:rPr>
          <w:rFonts w:ascii="Cambria" w:hAnsi="Cambria"/>
          <w:color w:val="262626"/>
          <w:szCs w:val="32"/>
        </w:rPr>
        <w:tab/>
      </w:r>
      <w:r>
        <w:rPr>
          <w:rFonts w:ascii="Cambria" w:hAnsi="Cambria"/>
          <w:b/>
          <w:color w:val="262626"/>
          <w:szCs w:val="32"/>
        </w:rPr>
        <w:t>Dodatni podaci</w:t>
      </w:r>
    </w:p>
    <w:p w14:paraId="08CF02BA" w14:textId="77777777" w:rsidR="004D2A2E" w:rsidRDefault="004D2A2E" w:rsidP="004D2A2E">
      <w:pPr>
        <w:pStyle w:val="Standard"/>
        <w:spacing w:after="0" w:line="360" w:lineRule="auto"/>
      </w:pPr>
      <w:r>
        <w:rPr>
          <w:rFonts w:ascii="Cambria" w:hAnsi="Cambria"/>
          <w:color w:val="262626"/>
          <w:szCs w:val="32"/>
        </w:rPr>
        <w:t xml:space="preserve">Izvještaj 5. </w:t>
      </w:r>
      <w:r>
        <w:rPr>
          <w:rFonts w:ascii="Cambria" w:hAnsi="Cambria"/>
          <w:color w:val="262626"/>
          <w:szCs w:val="32"/>
        </w:rPr>
        <w:tab/>
      </w:r>
      <w:r>
        <w:rPr>
          <w:rFonts w:ascii="Cambria" w:hAnsi="Cambria"/>
          <w:b/>
          <w:color w:val="262626"/>
          <w:szCs w:val="32"/>
        </w:rPr>
        <w:t>Pokazatelji</w:t>
      </w:r>
    </w:p>
    <w:p w14:paraId="08A84CC0" w14:textId="77777777" w:rsidR="004D2A2E" w:rsidRDefault="004D2A2E" w:rsidP="004D2A2E">
      <w:pPr>
        <w:pStyle w:val="Standard"/>
        <w:spacing w:after="0" w:line="360" w:lineRule="auto"/>
        <w:rPr>
          <w:rFonts w:ascii="Cambria" w:hAnsi="Cambria"/>
          <w:b/>
          <w:color w:val="262626"/>
          <w:szCs w:val="32"/>
        </w:rPr>
      </w:pPr>
      <w:r>
        <w:rPr>
          <w:rFonts w:ascii="Cambria" w:hAnsi="Cambria"/>
          <w:color w:val="262626"/>
          <w:szCs w:val="32"/>
        </w:rPr>
        <w:t xml:space="preserve">Izvještaj 6. </w:t>
      </w:r>
      <w:r>
        <w:rPr>
          <w:rFonts w:ascii="Cambria" w:hAnsi="Cambria"/>
          <w:color w:val="262626"/>
          <w:szCs w:val="32"/>
        </w:rPr>
        <w:tab/>
      </w:r>
      <w:r>
        <w:rPr>
          <w:rFonts w:ascii="Cambria" w:hAnsi="Cambria"/>
          <w:b/>
          <w:color w:val="262626"/>
          <w:szCs w:val="32"/>
        </w:rPr>
        <w:t xml:space="preserve">Realizacija plana poslovanja (realizacija plana prihoda i rashoda, te </w:t>
      </w:r>
    </w:p>
    <w:p w14:paraId="3B95178D" w14:textId="77777777" w:rsidR="004D2A2E" w:rsidRPr="00A838F8" w:rsidRDefault="004D2A2E" w:rsidP="004D2A2E">
      <w:pPr>
        <w:pStyle w:val="Standard"/>
        <w:spacing w:after="0" w:line="360" w:lineRule="auto"/>
        <w:ind w:left="708" w:firstLine="708"/>
        <w:rPr>
          <w:rFonts w:ascii="Cambria" w:hAnsi="Cambria"/>
          <w:b/>
          <w:color w:val="262626"/>
          <w:szCs w:val="32"/>
        </w:rPr>
      </w:pPr>
      <w:r>
        <w:rPr>
          <w:rFonts w:ascii="Cambria" w:hAnsi="Cambria"/>
          <w:b/>
          <w:color w:val="262626"/>
          <w:szCs w:val="32"/>
        </w:rPr>
        <w:t>dodatnih podataka)</w:t>
      </w:r>
    </w:p>
    <w:p w14:paraId="61B53FBB" w14:textId="77777777" w:rsidR="004D2A2E" w:rsidRDefault="004D2A2E" w:rsidP="004D2A2E">
      <w:pPr>
        <w:pStyle w:val="Standard"/>
        <w:spacing w:after="0"/>
        <w:rPr>
          <w:rFonts w:ascii="Cambria" w:hAnsi="Cambria" w:cs="Arial"/>
          <w:sz w:val="20"/>
          <w:szCs w:val="20"/>
        </w:rPr>
      </w:pPr>
    </w:p>
    <w:p w14:paraId="015ADC07" w14:textId="77777777" w:rsidR="00DC26EF" w:rsidRPr="005F19FA" w:rsidRDefault="00DC26EF" w:rsidP="00A02495">
      <w:pPr>
        <w:pStyle w:val="Odlomakpopisa"/>
      </w:pPr>
    </w:p>
    <w:p w14:paraId="15B7AC06" w14:textId="77777777" w:rsidR="0033625E" w:rsidRDefault="0033625E" w:rsidP="00A02495">
      <w:pPr>
        <w:pStyle w:val="Odlomakpopisa"/>
      </w:pPr>
    </w:p>
    <w:p w14:paraId="424F0D7D" w14:textId="77777777" w:rsidR="0033625E" w:rsidRDefault="0033625E" w:rsidP="00A02495">
      <w:pPr>
        <w:pStyle w:val="Odlomakpopisa"/>
      </w:pPr>
    </w:p>
    <w:p w14:paraId="6DC5594C" w14:textId="77777777" w:rsidR="0033625E" w:rsidRDefault="0033625E" w:rsidP="00A02495">
      <w:pPr>
        <w:pStyle w:val="Odlomakpopisa"/>
      </w:pPr>
    </w:p>
    <w:p w14:paraId="46FFBBE2" w14:textId="77777777" w:rsidR="0033625E" w:rsidRDefault="0033625E" w:rsidP="00A02495">
      <w:pPr>
        <w:pStyle w:val="Odlomakpopisa"/>
      </w:pPr>
    </w:p>
    <w:p w14:paraId="5BD7AFEE" w14:textId="77777777" w:rsidR="0033625E" w:rsidRDefault="0033625E" w:rsidP="00A02495">
      <w:pPr>
        <w:pStyle w:val="Odlomakpopisa"/>
      </w:pPr>
    </w:p>
    <w:p w14:paraId="7C852DB3" w14:textId="77777777" w:rsidR="0033625E" w:rsidRDefault="0033625E" w:rsidP="00A02495">
      <w:pPr>
        <w:pStyle w:val="Odlomakpopisa"/>
      </w:pPr>
    </w:p>
    <w:p w14:paraId="1C372FFB" w14:textId="77777777" w:rsidR="0033625E" w:rsidRDefault="0033625E" w:rsidP="00A02495">
      <w:pPr>
        <w:pStyle w:val="Odlomakpopisa"/>
      </w:pPr>
    </w:p>
    <w:p w14:paraId="0C385EB8" w14:textId="77777777" w:rsidR="0033625E" w:rsidRDefault="0033625E" w:rsidP="00A02495">
      <w:pPr>
        <w:pStyle w:val="Odlomakpopisa"/>
      </w:pPr>
    </w:p>
    <w:p w14:paraId="6996649A" w14:textId="77777777" w:rsidR="0033625E" w:rsidRDefault="0033625E" w:rsidP="00A02495">
      <w:pPr>
        <w:pStyle w:val="Odlomakpopisa"/>
      </w:pPr>
    </w:p>
    <w:p w14:paraId="499E44C8" w14:textId="77777777" w:rsidR="0033625E" w:rsidRDefault="0033625E" w:rsidP="00A02495">
      <w:pPr>
        <w:pStyle w:val="Odlomakpopisa"/>
      </w:pPr>
    </w:p>
    <w:p w14:paraId="57C18884" w14:textId="77777777" w:rsidR="0033625E" w:rsidRDefault="0033625E" w:rsidP="00A02495">
      <w:pPr>
        <w:pStyle w:val="Odlomakpopisa"/>
      </w:pPr>
    </w:p>
    <w:p w14:paraId="369F2451" w14:textId="77777777" w:rsidR="0033625E" w:rsidRDefault="0033625E" w:rsidP="00A02495">
      <w:pPr>
        <w:pStyle w:val="Odlomakpopisa"/>
      </w:pPr>
    </w:p>
    <w:p w14:paraId="124114A4" w14:textId="77777777" w:rsidR="0033625E" w:rsidRDefault="0033625E" w:rsidP="00A02495">
      <w:pPr>
        <w:pStyle w:val="Odlomakpopisa"/>
      </w:pPr>
    </w:p>
    <w:p w14:paraId="65C1898E" w14:textId="77777777" w:rsidR="00DC26EF" w:rsidRPr="005F19FA" w:rsidRDefault="00DC26EF" w:rsidP="00A02495">
      <w:pPr>
        <w:pStyle w:val="Odlomakpopisa"/>
      </w:pPr>
    </w:p>
    <w:p w14:paraId="4CC6EC58" w14:textId="77777777" w:rsidR="00DC26EF" w:rsidRPr="005F19FA" w:rsidRDefault="00DC26EF" w:rsidP="00A02495">
      <w:pPr>
        <w:pStyle w:val="Odlomakpopisa"/>
      </w:pPr>
    </w:p>
    <w:p w14:paraId="0665CB0E" w14:textId="77777777" w:rsidR="00DC26EF" w:rsidRPr="005F19FA" w:rsidRDefault="00DC26EF" w:rsidP="00A02495">
      <w:pPr>
        <w:pStyle w:val="Odlomakpopisa"/>
      </w:pPr>
    </w:p>
    <w:p w14:paraId="0A2B9ED2" w14:textId="77777777" w:rsidR="00DC26EF" w:rsidRPr="005F19FA" w:rsidRDefault="00DC26EF" w:rsidP="00A02495">
      <w:pPr>
        <w:pStyle w:val="Odlomakpopisa"/>
      </w:pPr>
    </w:p>
    <w:p w14:paraId="4678A3BF" w14:textId="77777777" w:rsidR="00DC26EF" w:rsidRPr="005F19FA" w:rsidRDefault="00DC26EF" w:rsidP="00A02495">
      <w:pPr>
        <w:pStyle w:val="Odlomakpopisa"/>
      </w:pPr>
    </w:p>
    <w:p w14:paraId="1D2EBED7" w14:textId="77777777" w:rsidR="00DC26EF" w:rsidRPr="005F19FA" w:rsidRDefault="00DC26EF" w:rsidP="00A02495">
      <w:pPr>
        <w:pStyle w:val="Odlomakpopisa"/>
      </w:pPr>
    </w:p>
    <w:p w14:paraId="255BF987" w14:textId="77777777" w:rsidR="00DC26EF" w:rsidRPr="005F19FA" w:rsidRDefault="00DC26EF" w:rsidP="00A02495">
      <w:pPr>
        <w:pStyle w:val="Odlomakpopisa"/>
      </w:pPr>
    </w:p>
    <w:p w14:paraId="54806517" w14:textId="77777777" w:rsidR="00DC26EF" w:rsidRPr="005F19FA" w:rsidRDefault="00DC26EF" w:rsidP="00A02495">
      <w:pPr>
        <w:pStyle w:val="Odlomakpopisa"/>
      </w:pPr>
    </w:p>
    <w:p w14:paraId="5CB31445" w14:textId="77777777" w:rsidR="00DC26EF" w:rsidRPr="005F19FA" w:rsidRDefault="00DC26EF" w:rsidP="00A02495">
      <w:pPr>
        <w:pStyle w:val="Odlomakpopisa"/>
      </w:pPr>
    </w:p>
    <w:p w14:paraId="5D1D9101" w14:textId="77777777" w:rsidR="00DC26EF" w:rsidRPr="005F19FA" w:rsidRDefault="00DC26EF" w:rsidP="00A02495">
      <w:pPr>
        <w:pStyle w:val="Odlomakpopisa"/>
      </w:pPr>
    </w:p>
    <w:p w14:paraId="5250A975" w14:textId="77777777" w:rsidR="00DC26EF" w:rsidRPr="005F19FA" w:rsidRDefault="00DC26EF" w:rsidP="00A02495">
      <w:pPr>
        <w:pStyle w:val="Odlomakpopisa"/>
      </w:pPr>
    </w:p>
    <w:p w14:paraId="7B81BC07" w14:textId="77777777" w:rsidR="00DC26EF" w:rsidRDefault="00DC26EF" w:rsidP="00A02495">
      <w:pPr>
        <w:pStyle w:val="Odlomakpopisa"/>
      </w:pPr>
    </w:p>
    <w:p w14:paraId="3B17402B" w14:textId="77777777" w:rsidR="00BE03C0" w:rsidRDefault="00BE03C0" w:rsidP="00A02495">
      <w:pPr>
        <w:pStyle w:val="Odlomakpopisa"/>
      </w:pPr>
    </w:p>
    <w:p w14:paraId="0605938E" w14:textId="77777777" w:rsidR="00BE03C0" w:rsidRDefault="00BE03C0" w:rsidP="00A02495">
      <w:pPr>
        <w:pStyle w:val="Odlomakpopisa"/>
      </w:pPr>
    </w:p>
    <w:p w14:paraId="1EFA7193" w14:textId="77777777" w:rsidR="00BE03C0" w:rsidRDefault="00BE03C0" w:rsidP="00A02495">
      <w:pPr>
        <w:pStyle w:val="Odlomakpopisa"/>
      </w:pPr>
    </w:p>
    <w:p w14:paraId="08E3D6B8" w14:textId="77777777" w:rsidR="00180474" w:rsidRPr="005F19FA" w:rsidRDefault="00180474" w:rsidP="00A02495">
      <w:pPr>
        <w:pStyle w:val="Odlomakpopisa"/>
      </w:pPr>
    </w:p>
    <w:p w14:paraId="27B0FACE" w14:textId="77777777" w:rsidR="00DC26EF" w:rsidRPr="005F19FA" w:rsidRDefault="00DC26EF" w:rsidP="00A02495">
      <w:pPr>
        <w:pStyle w:val="Odlomakpopisa"/>
      </w:pPr>
    </w:p>
    <w:p w14:paraId="4B927FE3" w14:textId="77777777" w:rsidR="00DC26EF" w:rsidRPr="005F19FA" w:rsidRDefault="00DC26EF" w:rsidP="00A02495">
      <w:pPr>
        <w:pStyle w:val="Odlomakpopisa"/>
      </w:pPr>
    </w:p>
    <w:p w14:paraId="4E40F324" w14:textId="77777777" w:rsidR="004D2A2E" w:rsidRDefault="004D2A2E" w:rsidP="00A02495">
      <w:pPr>
        <w:pStyle w:val="Tijeloteksta2"/>
      </w:pPr>
    </w:p>
    <w:p w14:paraId="2CBC9774" w14:textId="77777777" w:rsidR="004D2A2E" w:rsidRDefault="004D2A2E" w:rsidP="004D2A2E">
      <w:pPr>
        <w:pStyle w:val="Standard"/>
        <w:tabs>
          <w:tab w:val="left" w:pos="4678"/>
        </w:tabs>
        <w:spacing w:after="0"/>
        <w:rPr>
          <w:rFonts w:ascii="Cambria" w:hAnsi="Cambria"/>
          <w:color w:val="262626"/>
          <w:sz w:val="56"/>
          <w:szCs w:val="56"/>
        </w:rPr>
      </w:pPr>
      <w:r>
        <w:rPr>
          <w:rFonts w:ascii="Cambria" w:hAnsi="Cambria"/>
          <w:color w:val="262626"/>
          <w:sz w:val="56"/>
          <w:szCs w:val="56"/>
        </w:rPr>
        <w:t>Komentari</w:t>
      </w:r>
    </w:p>
    <w:p w14:paraId="5A0AFBC8" w14:textId="77777777" w:rsidR="004D2A2E" w:rsidRDefault="004D2A2E" w:rsidP="004D2A2E">
      <w:pPr>
        <w:pStyle w:val="Standard"/>
        <w:tabs>
          <w:tab w:val="left" w:pos="4678"/>
        </w:tabs>
        <w:spacing w:after="0"/>
        <w:rPr>
          <w:rFonts w:ascii="Cambria" w:hAnsi="Cambria"/>
          <w:b/>
          <w:color w:val="262626"/>
        </w:rPr>
      </w:pPr>
      <w:r>
        <w:rPr>
          <w:rFonts w:ascii="Cambria" w:hAnsi="Cambria"/>
          <w:b/>
          <w:color w:val="262626"/>
        </w:rPr>
        <w:t>uz izvještaje o poslovanju</w:t>
      </w:r>
    </w:p>
    <w:p w14:paraId="7269FBCC" w14:textId="77777777" w:rsidR="004D2A2E" w:rsidRDefault="004D2A2E" w:rsidP="004D2A2E">
      <w:pPr>
        <w:pStyle w:val="Standard"/>
        <w:spacing w:after="0"/>
        <w:rPr>
          <w:rFonts w:ascii="Cambria" w:eastAsia="Verdana, Bold" w:hAnsi="Cambria" w:cs="Arial"/>
          <w:b/>
          <w:i/>
          <w:iCs/>
          <w:sz w:val="20"/>
          <w:szCs w:val="20"/>
        </w:rPr>
      </w:pPr>
    </w:p>
    <w:p w14:paraId="66EDC0A3" w14:textId="77777777" w:rsidR="004D2A2E" w:rsidRDefault="004D2A2E" w:rsidP="004D2A2E">
      <w:pPr>
        <w:pStyle w:val="Standard"/>
        <w:spacing w:after="0"/>
        <w:rPr>
          <w:rFonts w:ascii="Cambria" w:eastAsia="Verdana, Bold" w:hAnsi="Cambria" w:cs="Arial"/>
          <w:b/>
          <w:i/>
          <w:iCs/>
          <w:sz w:val="20"/>
          <w:szCs w:val="20"/>
        </w:rPr>
      </w:pPr>
      <w:r>
        <w:rPr>
          <w:rFonts w:ascii="Cambria" w:eastAsia="Verdana, Bold" w:hAnsi="Cambria" w:cs="Arial"/>
          <w:b/>
          <w:i/>
          <w:iCs/>
          <w:sz w:val="20"/>
          <w:szCs w:val="20"/>
        </w:rPr>
        <w:br w:type="page"/>
      </w:r>
    </w:p>
    <w:p w14:paraId="4A040D0C" w14:textId="77777777" w:rsidR="004D2A2E" w:rsidRDefault="004D2A2E" w:rsidP="004D2A2E">
      <w:pPr>
        <w:pStyle w:val="Standard"/>
        <w:pageBreakBefore/>
        <w:spacing w:after="0"/>
        <w:rPr>
          <w:rFonts w:ascii="Cambria" w:hAnsi="Cambria" w:cs="Arial"/>
          <w:b/>
          <w:color w:val="262626"/>
          <w:szCs w:val="18"/>
        </w:rPr>
      </w:pPr>
      <w:r>
        <w:rPr>
          <w:rFonts w:ascii="Cambria" w:hAnsi="Cambria" w:cs="Arial"/>
          <w:b/>
          <w:color w:val="262626"/>
          <w:szCs w:val="18"/>
        </w:rPr>
        <w:lastRenderedPageBreak/>
        <w:t>Izvještaj 1.</w:t>
      </w:r>
    </w:p>
    <w:p w14:paraId="18756B6A" w14:textId="77777777" w:rsidR="004D2A2E" w:rsidRDefault="004D2A2E" w:rsidP="004D2A2E">
      <w:pPr>
        <w:pStyle w:val="Standard"/>
        <w:pBdr>
          <w:bottom w:val="single" w:sz="18" w:space="1" w:color="000080"/>
        </w:pBdr>
        <w:spacing w:after="0" w:line="360" w:lineRule="auto"/>
        <w:rPr>
          <w:rFonts w:ascii="Cambria" w:hAnsi="Cambria" w:cs="Arial"/>
          <w:b/>
          <w:color w:val="262626"/>
          <w:sz w:val="40"/>
          <w:szCs w:val="26"/>
        </w:rPr>
      </w:pPr>
      <w:r>
        <w:rPr>
          <w:rFonts w:ascii="Cambria" w:hAnsi="Cambria" w:cs="Arial"/>
          <w:b/>
          <w:color w:val="262626"/>
          <w:sz w:val="40"/>
          <w:szCs w:val="26"/>
        </w:rPr>
        <w:t>IMOVINA</w:t>
      </w:r>
    </w:p>
    <w:p w14:paraId="6BA6841E" w14:textId="77777777" w:rsidR="004D2A2E" w:rsidRDefault="004D2A2E" w:rsidP="004D2A2E">
      <w:pPr>
        <w:pStyle w:val="Standard"/>
        <w:spacing w:after="0"/>
        <w:rPr>
          <w:rFonts w:ascii="Cambria" w:hAnsi="Cambria" w:cs="Arial"/>
          <w:b/>
          <w:color w:val="0F243E"/>
        </w:rPr>
      </w:pPr>
    </w:p>
    <w:tbl>
      <w:tblPr>
        <w:tblW w:w="9356" w:type="dxa"/>
        <w:tblInd w:w="-34" w:type="dxa"/>
        <w:tblLayout w:type="fixed"/>
        <w:tblCellMar>
          <w:left w:w="10" w:type="dxa"/>
          <w:right w:w="10" w:type="dxa"/>
        </w:tblCellMar>
        <w:tblLook w:val="04A0" w:firstRow="1" w:lastRow="0" w:firstColumn="1" w:lastColumn="0" w:noHBand="0" w:noVBand="1"/>
      </w:tblPr>
      <w:tblGrid>
        <w:gridCol w:w="9356"/>
      </w:tblGrid>
      <w:tr w:rsidR="004D2A2E" w14:paraId="777800A5" w14:textId="77777777" w:rsidTr="00B51F9A">
        <w:trPr>
          <w:trHeight w:val="368"/>
        </w:trPr>
        <w:tc>
          <w:tcPr>
            <w:tcW w:w="9356" w:type="dxa"/>
            <w:shd w:val="clear" w:color="auto" w:fill="E7E7FF"/>
            <w:tcMar>
              <w:top w:w="0" w:type="dxa"/>
              <w:left w:w="108" w:type="dxa"/>
              <w:bottom w:w="0" w:type="dxa"/>
              <w:right w:w="108" w:type="dxa"/>
            </w:tcMar>
            <w:vAlign w:val="center"/>
          </w:tcPr>
          <w:p w14:paraId="6E275F18" w14:textId="77777777" w:rsidR="004D2A2E" w:rsidRDefault="004D2A2E" w:rsidP="006C7AA7">
            <w:pPr>
              <w:pStyle w:val="Standard"/>
              <w:spacing w:after="0"/>
              <w:rPr>
                <w:rFonts w:ascii="Cambria" w:hAnsi="Cambria"/>
                <w:b/>
                <w:color w:val="262626"/>
                <w:szCs w:val="20"/>
                <w:lang w:eastAsia="en-US"/>
              </w:rPr>
            </w:pPr>
            <w:r>
              <w:rPr>
                <w:rFonts w:ascii="Cambria" w:hAnsi="Cambria"/>
                <w:b/>
                <w:color w:val="262626"/>
                <w:szCs w:val="20"/>
                <w:lang w:eastAsia="en-US"/>
              </w:rPr>
              <w:t>Ukupna imovina</w:t>
            </w:r>
          </w:p>
        </w:tc>
      </w:tr>
    </w:tbl>
    <w:p w14:paraId="51BDAD8E" w14:textId="77777777" w:rsidR="004D2A2E" w:rsidRDefault="004D2A2E" w:rsidP="004D2A2E">
      <w:pPr>
        <w:pStyle w:val="Standard"/>
        <w:spacing w:after="0"/>
        <w:rPr>
          <w:rFonts w:ascii="Cambria" w:hAnsi="Cambria" w:cs="Arial"/>
        </w:rPr>
      </w:pPr>
    </w:p>
    <w:p w14:paraId="0F07A674" w14:textId="5C817BC9" w:rsidR="00D94056" w:rsidRPr="00BE0F7F" w:rsidRDefault="00D94056" w:rsidP="00A02495">
      <w:pPr>
        <w:rPr>
          <w:szCs w:val="22"/>
        </w:rPr>
      </w:pPr>
      <w:r w:rsidRPr="00BE0F7F">
        <w:rPr>
          <w:szCs w:val="22"/>
        </w:rPr>
        <w:t xml:space="preserve">Na dan 31.12.2024. godine Društvo je raspolagalo imovinom ukupne vrijednosti </w:t>
      </w:r>
      <w:r w:rsidR="00911EA1" w:rsidRPr="00BE0F7F">
        <w:rPr>
          <w:szCs w:val="22"/>
        </w:rPr>
        <w:t>111.557.730 eura</w:t>
      </w:r>
      <w:r w:rsidR="00960D36">
        <w:rPr>
          <w:szCs w:val="22"/>
        </w:rPr>
        <w:t xml:space="preserve">, </w:t>
      </w:r>
      <w:r w:rsidR="00911EA1" w:rsidRPr="00BE0F7F">
        <w:rPr>
          <w:szCs w:val="22"/>
        </w:rPr>
        <w:t xml:space="preserve"> što predstavlja povećanje od 8% u odnosu na početno stanje. Vrijednost dugotrajne imovine porasla je za 14% (11,6 milijuna eura), dok je vrijednost kratkotrajne imovine smanjena za 17% (3,0 milijuna eura).</w:t>
      </w:r>
    </w:p>
    <w:p w14:paraId="0ECADB59" w14:textId="77777777" w:rsidR="00911EA1" w:rsidRDefault="00911EA1" w:rsidP="00A02495"/>
    <w:p w14:paraId="52A1672A" w14:textId="77777777" w:rsidR="00E115A9" w:rsidRDefault="00E115A9" w:rsidP="004D2A2E">
      <w:pPr>
        <w:pStyle w:val="Standard"/>
        <w:spacing w:after="0"/>
        <w:rPr>
          <w:rFonts w:ascii="Cambria" w:hAnsi="Cambria" w:cs="Arial"/>
          <w:b/>
          <w:color w:val="0F243E"/>
        </w:rPr>
      </w:pPr>
    </w:p>
    <w:tbl>
      <w:tblPr>
        <w:tblW w:w="5000" w:type="pct"/>
        <w:tblLayout w:type="fixed"/>
        <w:tblCellMar>
          <w:left w:w="10" w:type="dxa"/>
          <w:right w:w="10" w:type="dxa"/>
        </w:tblCellMar>
        <w:tblLook w:val="04A0" w:firstRow="1" w:lastRow="0" w:firstColumn="1" w:lastColumn="0" w:noHBand="0" w:noVBand="1"/>
      </w:tblPr>
      <w:tblGrid>
        <w:gridCol w:w="9072"/>
      </w:tblGrid>
      <w:tr w:rsidR="004D2A2E" w14:paraId="2B02E3DC" w14:textId="77777777" w:rsidTr="006C7AA7">
        <w:trPr>
          <w:trHeight w:val="340"/>
        </w:trPr>
        <w:tc>
          <w:tcPr>
            <w:tcW w:w="9638" w:type="dxa"/>
            <w:shd w:val="clear" w:color="auto" w:fill="E7E7FF"/>
            <w:tcMar>
              <w:top w:w="0" w:type="dxa"/>
              <w:left w:w="108" w:type="dxa"/>
              <w:bottom w:w="0" w:type="dxa"/>
              <w:right w:w="108" w:type="dxa"/>
            </w:tcMar>
            <w:vAlign w:val="center"/>
          </w:tcPr>
          <w:p w14:paraId="14FF8E4D" w14:textId="77777777" w:rsidR="004D2A2E" w:rsidRDefault="004D2A2E" w:rsidP="006C7AA7">
            <w:pPr>
              <w:pStyle w:val="Standard"/>
              <w:spacing w:after="0"/>
              <w:rPr>
                <w:rFonts w:ascii="Cambria" w:hAnsi="Cambria" w:cs="Arial"/>
                <w:b/>
                <w:color w:val="262626"/>
                <w:lang w:eastAsia="en-US"/>
              </w:rPr>
            </w:pPr>
            <w:r>
              <w:rPr>
                <w:rFonts w:ascii="Cambria" w:hAnsi="Cambria" w:cs="Arial"/>
                <w:b/>
                <w:color w:val="262626"/>
                <w:lang w:eastAsia="en-US"/>
              </w:rPr>
              <w:t>Dugotrajna imovina</w:t>
            </w:r>
          </w:p>
        </w:tc>
      </w:tr>
    </w:tbl>
    <w:p w14:paraId="28EC3821" w14:textId="77777777" w:rsidR="004D2A2E" w:rsidRDefault="004D2A2E" w:rsidP="004D2A2E">
      <w:pPr>
        <w:pStyle w:val="Standard"/>
        <w:spacing w:after="0"/>
        <w:rPr>
          <w:rFonts w:ascii="Cambria" w:hAnsi="Cambria" w:cs="Arial"/>
        </w:rPr>
      </w:pPr>
    </w:p>
    <w:p w14:paraId="1078702A" w14:textId="3AC67127" w:rsidR="00F023BB" w:rsidRPr="00BE0F7F" w:rsidRDefault="00F023BB" w:rsidP="00815BE3">
      <w:pPr>
        <w:pStyle w:val="Standard"/>
        <w:spacing w:after="0"/>
        <w:jc w:val="both"/>
        <w:rPr>
          <w:rFonts w:ascii="Cambria" w:hAnsi="Cambria" w:cs="Arial"/>
          <w:sz w:val="22"/>
          <w:szCs w:val="22"/>
        </w:rPr>
      </w:pPr>
      <w:r w:rsidRPr="00BE0F7F">
        <w:rPr>
          <w:rFonts w:ascii="Cambria" w:hAnsi="Cambria" w:cs="Arial"/>
          <w:sz w:val="22"/>
          <w:szCs w:val="22"/>
        </w:rPr>
        <w:t xml:space="preserve">Na dan 31.12.2024. godine </w:t>
      </w:r>
      <w:r w:rsidRPr="00BE0F7F">
        <w:rPr>
          <w:rFonts w:ascii="Cambria" w:hAnsi="Cambria" w:cs="Arial"/>
          <w:b/>
          <w:bCs/>
          <w:sz w:val="22"/>
          <w:szCs w:val="22"/>
        </w:rPr>
        <w:t>dugotrajna imovina</w:t>
      </w:r>
      <w:r w:rsidRPr="00BE0F7F">
        <w:rPr>
          <w:rFonts w:ascii="Cambria" w:hAnsi="Cambria" w:cs="Arial"/>
          <w:sz w:val="22"/>
          <w:szCs w:val="22"/>
        </w:rPr>
        <w:t xml:space="preserve"> Društva iznosila je </w:t>
      </w:r>
      <w:r w:rsidR="004844A4" w:rsidRPr="00BE0F7F">
        <w:rPr>
          <w:rFonts w:ascii="Cambria" w:hAnsi="Cambria" w:cs="Arial"/>
          <w:sz w:val="22"/>
          <w:szCs w:val="22"/>
        </w:rPr>
        <w:t>96.810.829 eura, a u okviru koje je najznačajnija materijalna imovina</w:t>
      </w:r>
      <w:r w:rsidR="00815BE3" w:rsidRPr="00BE0F7F">
        <w:rPr>
          <w:rFonts w:ascii="Cambria" w:hAnsi="Cambria" w:cs="Arial"/>
          <w:sz w:val="22"/>
          <w:szCs w:val="22"/>
        </w:rPr>
        <w:t xml:space="preserve">. Porast njezine vrijednosti od 14% u odnosu na prethodnu godinu prvenstveno je rezultat 57%-nog rasta vrijednosti materijalne imovine u pripremi, te višestrukog povećanja na poziciji predujmova za materijalnu imovinu. </w:t>
      </w:r>
    </w:p>
    <w:p w14:paraId="780165E9" w14:textId="77777777" w:rsidR="004844A4" w:rsidRPr="00A02495" w:rsidRDefault="004844A4" w:rsidP="004D2A2E">
      <w:pPr>
        <w:pStyle w:val="Standard"/>
        <w:spacing w:after="0"/>
        <w:rPr>
          <w:rFonts w:ascii="Cambria" w:hAnsi="Cambria" w:cs="Arial"/>
          <w:sz w:val="22"/>
          <w:szCs w:val="22"/>
        </w:rPr>
      </w:pPr>
    </w:p>
    <w:p w14:paraId="0C85A710" w14:textId="264A606B" w:rsidR="004D3F48" w:rsidRPr="00A02495" w:rsidRDefault="004D3F48" w:rsidP="00A02495">
      <w:pPr>
        <w:rPr>
          <w:szCs w:val="22"/>
        </w:rPr>
      </w:pPr>
      <w:r w:rsidRPr="00A02495">
        <w:rPr>
          <w:b/>
          <w:szCs w:val="22"/>
        </w:rPr>
        <w:t xml:space="preserve">Nematerijalna imovina </w:t>
      </w:r>
      <w:r w:rsidRPr="00A02495">
        <w:rPr>
          <w:szCs w:val="22"/>
        </w:rPr>
        <w:t xml:space="preserve">na posljednji dan izvještajne godine je iznosila </w:t>
      </w:r>
      <w:r w:rsidR="00631EC2" w:rsidRPr="00A02495">
        <w:rPr>
          <w:szCs w:val="22"/>
        </w:rPr>
        <w:t xml:space="preserve"> 808.482 eura. U odnosu na 2023. godinu bilježi 9%-no smanjenje</w:t>
      </w:r>
      <w:r w:rsidR="001F75B0" w:rsidRPr="00A02495">
        <w:rPr>
          <w:szCs w:val="22"/>
        </w:rPr>
        <w:t>, a sastoji se od:</w:t>
      </w:r>
    </w:p>
    <w:p w14:paraId="55106D77" w14:textId="6C240A71" w:rsidR="001F75B0" w:rsidRPr="00A02495" w:rsidRDefault="001F75B0" w:rsidP="0094608E">
      <w:pPr>
        <w:pStyle w:val="Odlomakpopisa"/>
        <w:numPr>
          <w:ilvl w:val="0"/>
          <w:numId w:val="14"/>
        </w:numPr>
        <w:rPr>
          <w:szCs w:val="22"/>
        </w:rPr>
      </w:pPr>
      <w:r w:rsidRPr="00A02495">
        <w:rPr>
          <w:szCs w:val="22"/>
        </w:rPr>
        <w:t>Računarski so</w:t>
      </w:r>
      <w:r w:rsidR="001726B2" w:rsidRPr="00A02495">
        <w:rPr>
          <w:szCs w:val="22"/>
        </w:rPr>
        <w:t>f</w:t>
      </w:r>
      <w:r w:rsidRPr="00A02495">
        <w:rPr>
          <w:szCs w:val="22"/>
        </w:rPr>
        <w:t>tweri u vrijednosti od 48.588 eura</w:t>
      </w:r>
    </w:p>
    <w:p w14:paraId="07502EF8" w14:textId="613EEE73" w:rsidR="001F75B0" w:rsidRPr="00A02495" w:rsidRDefault="001F75B0" w:rsidP="0094608E">
      <w:pPr>
        <w:pStyle w:val="Odlomakpopisa2"/>
        <w:numPr>
          <w:ilvl w:val="0"/>
          <w:numId w:val="14"/>
        </w:numPr>
        <w:rPr>
          <w:rFonts w:eastAsia="Calibri"/>
          <w:szCs w:val="22"/>
        </w:rPr>
      </w:pPr>
      <w:r w:rsidRPr="00A02495">
        <w:rPr>
          <w:rFonts w:eastAsia="Calibri"/>
          <w:szCs w:val="22"/>
        </w:rPr>
        <w:t>Ulaganje u projektnu i drugu dokumentaciju u vrijednosti 112.778 eura,</w:t>
      </w:r>
    </w:p>
    <w:p w14:paraId="2A269512" w14:textId="0114704C" w:rsidR="001F75B0" w:rsidRPr="00A02495" w:rsidRDefault="001F75B0" w:rsidP="0094608E">
      <w:pPr>
        <w:pStyle w:val="Odlomakpopisa2"/>
        <w:numPr>
          <w:ilvl w:val="0"/>
          <w:numId w:val="14"/>
        </w:numPr>
        <w:rPr>
          <w:rFonts w:eastAsia="Calibri"/>
          <w:szCs w:val="22"/>
        </w:rPr>
      </w:pPr>
      <w:r w:rsidRPr="00A02495">
        <w:rPr>
          <w:rFonts w:eastAsia="Calibri"/>
          <w:szCs w:val="22"/>
        </w:rPr>
        <w:t>Ulaganje u studije i istraživanja u vrijednosti 157.795 eura,</w:t>
      </w:r>
    </w:p>
    <w:p w14:paraId="25319720" w14:textId="57DA411F" w:rsidR="001F75B0" w:rsidRPr="00A02495" w:rsidRDefault="001F75B0" w:rsidP="0094608E">
      <w:pPr>
        <w:pStyle w:val="Odlomakpopisa2"/>
        <w:numPr>
          <w:ilvl w:val="0"/>
          <w:numId w:val="14"/>
        </w:numPr>
        <w:rPr>
          <w:rFonts w:eastAsia="Calibri"/>
          <w:szCs w:val="22"/>
        </w:rPr>
      </w:pPr>
      <w:r w:rsidRPr="00A02495">
        <w:rPr>
          <w:rFonts w:eastAsia="Calibri"/>
          <w:szCs w:val="22"/>
        </w:rPr>
        <w:t>Ulaganje na tuđim sredstvima u vrijednosti 137.088 eura,</w:t>
      </w:r>
    </w:p>
    <w:p w14:paraId="7A7F7A51" w14:textId="4F930EAE" w:rsidR="001F75B0" w:rsidRPr="00A02495" w:rsidRDefault="001F75B0" w:rsidP="0094608E">
      <w:pPr>
        <w:pStyle w:val="Odlomakpopisa2"/>
        <w:numPr>
          <w:ilvl w:val="0"/>
          <w:numId w:val="14"/>
        </w:numPr>
        <w:rPr>
          <w:rFonts w:eastAsia="Calibri"/>
          <w:szCs w:val="22"/>
        </w:rPr>
      </w:pPr>
      <w:r w:rsidRPr="00A02495">
        <w:rPr>
          <w:rFonts w:eastAsia="Calibri"/>
          <w:szCs w:val="22"/>
        </w:rPr>
        <w:t>Ulaganje u pravo služnosti financirano tuđim sredstvima  u vrijednosti 1.529 eura,</w:t>
      </w:r>
    </w:p>
    <w:p w14:paraId="07847183" w14:textId="0E0798F5" w:rsidR="001F75B0" w:rsidRPr="00A02495" w:rsidRDefault="001F75B0" w:rsidP="0094608E">
      <w:pPr>
        <w:pStyle w:val="Odlomakpopisa2"/>
        <w:numPr>
          <w:ilvl w:val="0"/>
          <w:numId w:val="14"/>
        </w:numPr>
        <w:rPr>
          <w:rFonts w:eastAsia="Calibri"/>
          <w:szCs w:val="22"/>
        </w:rPr>
      </w:pPr>
      <w:r w:rsidRPr="00A02495">
        <w:rPr>
          <w:rFonts w:eastAsia="Calibri"/>
          <w:szCs w:val="22"/>
        </w:rPr>
        <w:t>Ulaganje na koncesiju u vrijednosti 3.621 eura,</w:t>
      </w:r>
    </w:p>
    <w:p w14:paraId="7F035A45" w14:textId="499C62A8" w:rsidR="001F75B0" w:rsidRPr="00A02495" w:rsidRDefault="001F75B0" w:rsidP="0094608E">
      <w:pPr>
        <w:pStyle w:val="Odlomakpopisa2"/>
        <w:numPr>
          <w:ilvl w:val="0"/>
          <w:numId w:val="14"/>
        </w:numPr>
        <w:rPr>
          <w:rFonts w:eastAsia="Calibri"/>
          <w:szCs w:val="22"/>
        </w:rPr>
      </w:pPr>
      <w:r w:rsidRPr="00A02495">
        <w:rPr>
          <w:rFonts w:eastAsia="Calibri"/>
          <w:szCs w:val="22"/>
        </w:rPr>
        <w:t>Pravo priključka i korištenje energetskih objekata u vrijednosti 12.760 eura,</w:t>
      </w:r>
    </w:p>
    <w:p w14:paraId="7D5861E9" w14:textId="6EB964BE" w:rsidR="001F75B0" w:rsidRPr="00A02495" w:rsidRDefault="001F75B0" w:rsidP="0094608E">
      <w:pPr>
        <w:pStyle w:val="Odlomakpopisa2"/>
        <w:numPr>
          <w:ilvl w:val="0"/>
          <w:numId w:val="14"/>
        </w:numPr>
        <w:rPr>
          <w:rFonts w:eastAsia="Calibri"/>
          <w:szCs w:val="22"/>
        </w:rPr>
      </w:pPr>
      <w:r w:rsidRPr="00A02495">
        <w:rPr>
          <w:rFonts w:eastAsia="Calibri"/>
          <w:szCs w:val="22"/>
        </w:rPr>
        <w:t>Nematerijalne imovine u pripremi u vrijednosti</w:t>
      </w:r>
      <w:r w:rsidR="00F85859" w:rsidRPr="00A02495">
        <w:rPr>
          <w:rFonts w:eastAsia="Calibri"/>
          <w:szCs w:val="22"/>
        </w:rPr>
        <w:t xml:space="preserve"> </w:t>
      </w:r>
      <w:r w:rsidR="00B1715B" w:rsidRPr="00A02495">
        <w:rPr>
          <w:rFonts w:eastAsia="Calibri"/>
          <w:szCs w:val="22"/>
        </w:rPr>
        <w:t xml:space="preserve">od 334.322 eura </w:t>
      </w:r>
      <w:r w:rsidR="00F85859" w:rsidRPr="000C2B8D">
        <w:rPr>
          <w:rFonts w:eastAsia="Calibri"/>
          <w:szCs w:val="22"/>
        </w:rPr>
        <w:t>(većim dijelom se odnosi na pravo služnosti na tuđim nekretninama, većinom od Grada Pule, koje treba ishoditi radi izgradnje kanalizacijskog sustava)</w:t>
      </w:r>
      <w:r w:rsidRPr="00A02495">
        <w:rPr>
          <w:rFonts w:eastAsia="Calibri"/>
          <w:szCs w:val="22"/>
        </w:rPr>
        <w:t xml:space="preserve"> </w:t>
      </w:r>
    </w:p>
    <w:p w14:paraId="2A6D7462" w14:textId="77777777" w:rsidR="00631EC2" w:rsidRPr="00A02495" w:rsidRDefault="00631EC2" w:rsidP="00A02495">
      <w:pPr>
        <w:rPr>
          <w:szCs w:val="22"/>
        </w:rPr>
      </w:pPr>
    </w:p>
    <w:p w14:paraId="76F7C5D3" w14:textId="7DDD5993" w:rsidR="00174DE7" w:rsidRPr="00A02495" w:rsidRDefault="00B0655A" w:rsidP="00BE0F7F">
      <w:pPr>
        <w:pStyle w:val="Odlomakpopisa2"/>
        <w:ind w:left="0"/>
        <w:rPr>
          <w:rFonts w:eastAsia="Calibri"/>
          <w:szCs w:val="22"/>
        </w:rPr>
      </w:pPr>
      <w:r w:rsidRPr="00A02495">
        <w:rPr>
          <w:rFonts w:eastAsia="Calibri"/>
          <w:szCs w:val="22"/>
        </w:rPr>
        <w:t xml:space="preserve">Najznačajnija skupina imovine Društva je </w:t>
      </w:r>
      <w:r w:rsidRPr="00A02495">
        <w:rPr>
          <w:rFonts w:eastAsia="Calibri"/>
          <w:b/>
          <w:bCs/>
          <w:szCs w:val="22"/>
        </w:rPr>
        <w:t>materijalna imovina</w:t>
      </w:r>
      <w:r w:rsidRPr="00A02495">
        <w:rPr>
          <w:rFonts w:eastAsia="Calibri"/>
          <w:szCs w:val="22"/>
        </w:rPr>
        <w:t xml:space="preserve"> na koju se odnosi </w:t>
      </w:r>
      <w:r w:rsidR="00BE0F7F">
        <w:rPr>
          <w:rFonts w:eastAsia="Calibri"/>
          <w:szCs w:val="22"/>
        </w:rPr>
        <w:t>95.593.560</w:t>
      </w:r>
      <w:r w:rsidRPr="00A02495">
        <w:rPr>
          <w:rFonts w:eastAsia="Calibri"/>
          <w:szCs w:val="22"/>
        </w:rPr>
        <w:t xml:space="preserve"> eura. U odnosu na prethodnu godinu bilježi porast od 1</w:t>
      </w:r>
      <w:r w:rsidR="00BE0F7F">
        <w:rPr>
          <w:rFonts w:eastAsia="Calibri"/>
          <w:szCs w:val="22"/>
        </w:rPr>
        <w:t>4</w:t>
      </w:r>
      <w:r w:rsidRPr="00A02495">
        <w:rPr>
          <w:rFonts w:eastAsia="Calibri"/>
          <w:szCs w:val="22"/>
        </w:rPr>
        <w:t xml:space="preserve">%, ponajprije kao rezultat </w:t>
      </w:r>
      <w:r w:rsidR="00632A1B" w:rsidRPr="00A02495">
        <w:rPr>
          <w:rFonts w:eastAsia="Calibri"/>
          <w:szCs w:val="22"/>
        </w:rPr>
        <w:t>povećanja vrijednosti materijalne imovine u pripremi i danih predujmova za materijalnu imovinu.</w:t>
      </w:r>
    </w:p>
    <w:p w14:paraId="005829B9" w14:textId="77777777" w:rsidR="006937A6" w:rsidRPr="00A02495" w:rsidRDefault="006937A6" w:rsidP="00A02495">
      <w:pPr>
        <w:rPr>
          <w:szCs w:val="22"/>
          <w:highlight w:val="magenta"/>
        </w:rPr>
      </w:pPr>
    </w:p>
    <w:p w14:paraId="5BA0F46D" w14:textId="5EF7B7A9" w:rsidR="00B0655A" w:rsidRPr="00A02495" w:rsidRDefault="00B0655A" w:rsidP="00A02495">
      <w:pPr>
        <w:rPr>
          <w:szCs w:val="22"/>
        </w:rPr>
      </w:pPr>
      <w:r w:rsidRPr="00A02495">
        <w:rPr>
          <w:szCs w:val="22"/>
        </w:rPr>
        <w:t xml:space="preserve">Na poziciji </w:t>
      </w:r>
      <w:r w:rsidRPr="00A02495">
        <w:rPr>
          <w:b/>
          <w:bCs/>
          <w:szCs w:val="22"/>
        </w:rPr>
        <w:t>zemljišta</w:t>
      </w:r>
      <w:r w:rsidRPr="00A02495">
        <w:rPr>
          <w:szCs w:val="22"/>
        </w:rPr>
        <w:t xml:space="preserve"> evidentirano je ukupno 5.069.603</w:t>
      </w:r>
      <w:r w:rsidR="00BE0F7F">
        <w:rPr>
          <w:szCs w:val="22"/>
        </w:rPr>
        <w:t xml:space="preserve"> eura</w:t>
      </w:r>
      <w:r w:rsidR="00632A1B" w:rsidRPr="00A02495">
        <w:rPr>
          <w:szCs w:val="22"/>
        </w:rPr>
        <w:t xml:space="preserve">. </w:t>
      </w:r>
      <w:r w:rsidRPr="00A02495">
        <w:rPr>
          <w:szCs w:val="22"/>
        </w:rPr>
        <w:t>Društvo koristi model revalorizacije, odnosno iskazuje vrijednost prema fer tržišnoj vrijednosti. Usklađenje se provedi temeljem Odluke o revalorizaciji zemljišta, a na osnovu izvršene procjene vrijednosti od strane sudskog vještaka graditeljske struke.</w:t>
      </w:r>
    </w:p>
    <w:p w14:paraId="48CDD409" w14:textId="77777777" w:rsidR="00B0655A" w:rsidRPr="00A02495" w:rsidRDefault="00B0655A" w:rsidP="00A02495">
      <w:pPr>
        <w:rPr>
          <w:szCs w:val="22"/>
          <w:highlight w:val="magenta"/>
        </w:rPr>
      </w:pPr>
    </w:p>
    <w:p w14:paraId="1E0D5E8B" w14:textId="4E8AED01" w:rsidR="00A7311E" w:rsidRPr="00A02495" w:rsidRDefault="00B0655A" w:rsidP="00A02495">
      <w:pPr>
        <w:rPr>
          <w:szCs w:val="22"/>
        </w:rPr>
      </w:pPr>
      <w:r w:rsidRPr="00A02495">
        <w:rPr>
          <w:szCs w:val="22"/>
        </w:rPr>
        <w:t xml:space="preserve">Pozicija </w:t>
      </w:r>
      <w:r w:rsidRPr="00A02495">
        <w:rPr>
          <w:b/>
          <w:bCs/>
          <w:szCs w:val="22"/>
        </w:rPr>
        <w:t>građevinski objekti</w:t>
      </w:r>
      <w:r w:rsidRPr="00A02495">
        <w:rPr>
          <w:szCs w:val="22"/>
        </w:rPr>
        <w:t xml:space="preserve"> (</w:t>
      </w:r>
      <w:r w:rsidR="00A7311E" w:rsidRPr="00A02495">
        <w:rPr>
          <w:szCs w:val="22"/>
        </w:rPr>
        <w:t>63.266.354</w:t>
      </w:r>
      <w:r w:rsidRPr="00A02495">
        <w:rPr>
          <w:szCs w:val="22"/>
        </w:rPr>
        <w:t xml:space="preserve"> eura) obuhvaća vodovodnu infrastrukturu (vodovodna mreža, mreža odvodnje, i drugo) u vrijednosti od </w:t>
      </w:r>
      <w:r w:rsidR="00A7311E" w:rsidRPr="00A02495">
        <w:rPr>
          <w:szCs w:val="22"/>
        </w:rPr>
        <w:t xml:space="preserve">61.299.140 </w:t>
      </w:r>
      <w:r w:rsidRPr="00A02495">
        <w:rPr>
          <w:szCs w:val="22"/>
        </w:rPr>
        <w:t xml:space="preserve">eura, </w:t>
      </w:r>
      <w:r w:rsidR="00960D36">
        <w:rPr>
          <w:szCs w:val="22"/>
        </w:rPr>
        <w:t xml:space="preserve">te </w:t>
      </w:r>
      <w:r w:rsidRPr="00A02495">
        <w:rPr>
          <w:szCs w:val="22"/>
        </w:rPr>
        <w:t xml:space="preserve">nestambene zgrade (rezervoari, prepumpne stanice, objekt izvora te zgrada uprave) vrijednosti </w:t>
      </w:r>
      <w:r w:rsidR="00960D36">
        <w:rPr>
          <w:szCs w:val="22"/>
        </w:rPr>
        <w:t xml:space="preserve">od </w:t>
      </w:r>
      <w:r w:rsidR="00A7311E" w:rsidRPr="00A02495">
        <w:rPr>
          <w:szCs w:val="22"/>
        </w:rPr>
        <w:t xml:space="preserve">1.967.214 </w:t>
      </w:r>
      <w:r w:rsidRPr="00A02495">
        <w:rPr>
          <w:szCs w:val="22"/>
        </w:rPr>
        <w:t xml:space="preserve">eura. </w:t>
      </w:r>
      <w:r w:rsidR="00A7311E" w:rsidRPr="00A02495">
        <w:rPr>
          <w:szCs w:val="22"/>
        </w:rPr>
        <w:t>U odnosu na 2023. godinu vrijednost građevinskih objekata porasla je za 1%.</w:t>
      </w:r>
    </w:p>
    <w:p w14:paraId="0D0A504E" w14:textId="77777777" w:rsidR="00A7311E" w:rsidRPr="00A02495" w:rsidRDefault="00A7311E" w:rsidP="00A02495">
      <w:pPr>
        <w:rPr>
          <w:szCs w:val="22"/>
        </w:rPr>
      </w:pPr>
    </w:p>
    <w:p w14:paraId="3B2AB608" w14:textId="5A19D1F4" w:rsidR="00A7311E" w:rsidRPr="00A02495" w:rsidRDefault="00A7311E" w:rsidP="00A02495">
      <w:pPr>
        <w:rPr>
          <w:color w:val="FF0000"/>
          <w:szCs w:val="22"/>
        </w:rPr>
      </w:pPr>
      <w:r w:rsidRPr="00A02495">
        <w:rPr>
          <w:szCs w:val="22"/>
        </w:rPr>
        <w:lastRenderedPageBreak/>
        <w:t xml:space="preserve">Na poziciji </w:t>
      </w:r>
      <w:r w:rsidRPr="00A02495">
        <w:rPr>
          <w:b/>
          <w:bCs/>
          <w:szCs w:val="22"/>
        </w:rPr>
        <w:t>postrojenja i oprema</w:t>
      </w:r>
      <w:r w:rsidRPr="00A02495">
        <w:rPr>
          <w:szCs w:val="22"/>
        </w:rPr>
        <w:t xml:space="preserve"> je evidentirana vrijednost od 3.513.895 eura što je za 4% (146.926 eura) više u odnosu na početno stanje. </w:t>
      </w:r>
    </w:p>
    <w:p w14:paraId="41AF6F8E" w14:textId="77777777" w:rsidR="00CD78B8" w:rsidRPr="00A02495" w:rsidRDefault="00CD78B8" w:rsidP="00A02495">
      <w:pPr>
        <w:rPr>
          <w:szCs w:val="22"/>
        </w:rPr>
      </w:pPr>
    </w:p>
    <w:p w14:paraId="3FD271CD" w14:textId="32210A9F" w:rsidR="00CD78B8" w:rsidRPr="00A02495" w:rsidRDefault="00CD78B8" w:rsidP="00A02495">
      <w:pPr>
        <w:rPr>
          <w:szCs w:val="22"/>
        </w:rPr>
      </w:pPr>
      <w:r w:rsidRPr="00A02495">
        <w:rPr>
          <w:szCs w:val="22"/>
        </w:rPr>
        <w:t xml:space="preserve">Pozicija </w:t>
      </w:r>
      <w:r w:rsidRPr="00A02495">
        <w:rPr>
          <w:b/>
          <w:bCs/>
          <w:szCs w:val="22"/>
        </w:rPr>
        <w:t>alati, pogonski inventar i transportna imovina</w:t>
      </w:r>
      <w:r w:rsidRPr="00A02495">
        <w:rPr>
          <w:szCs w:val="22"/>
        </w:rPr>
        <w:t xml:space="preserve"> (571.484 eura) bilježi povećanje u iznosu   116.872 eura (ili 26%) u odnosu na </w:t>
      </w:r>
      <w:r w:rsidR="004F4281" w:rsidRPr="00A02495">
        <w:rPr>
          <w:szCs w:val="22"/>
        </w:rPr>
        <w:t>stanje na 31.12.2023. godine, kao rezultat ulaganja u transportnu imovinu.</w:t>
      </w:r>
    </w:p>
    <w:p w14:paraId="67BAE0CA" w14:textId="77777777" w:rsidR="00AF7764" w:rsidRPr="00A02495" w:rsidRDefault="00AF7764" w:rsidP="00A02495">
      <w:pPr>
        <w:rPr>
          <w:szCs w:val="22"/>
        </w:rPr>
      </w:pPr>
    </w:p>
    <w:p w14:paraId="4B095DEF" w14:textId="7CD03A46" w:rsidR="00AF7764" w:rsidRPr="00A02495" w:rsidRDefault="00AF7764" w:rsidP="00A02495">
      <w:pPr>
        <w:rPr>
          <w:szCs w:val="22"/>
        </w:rPr>
      </w:pPr>
      <w:r w:rsidRPr="00A02495">
        <w:rPr>
          <w:b/>
          <w:bCs/>
          <w:szCs w:val="22"/>
        </w:rPr>
        <w:t>Predujmovi za materijalnu imovinu</w:t>
      </w:r>
      <w:r w:rsidRPr="00A02495">
        <w:rPr>
          <w:szCs w:val="22"/>
        </w:rPr>
        <w:t xml:space="preserve"> na dan 31.12.2024. godine iznose 4.288.271 eura. </w:t>
      </w:r>
      <w:r w:rsidRPr="000C2B8D">
        <w:rPr>
          <w:szCs w:val="22"/>
        </w:rPr>
        <w:t>Uglavnom se odnose na predujmove</w:t>
      </w:r>
      <w:r w:rsidR="00ED2793" w:rsidRPr="000C2B8D">
        <w:rPr>
          <w:szCs w:val="22"/>
        </w:rPr>
        <w:t xml:space="preserve"> </w:t>
      </w:r>
      <w:r w:rsidRPr="000C2B8D">
        <w:rPr>
          <w:szCs w:val="22"/>
        </w:rPr>
        <w:t xml:space="preserve">u vezi radova u okviru projekta Aglomeracija Pula-Sjever (dobavljač Godina d.o.o. u iznosu od 2.874.175 eura, dobavljač Hidroinženering d.o.o., Ljubljana u iznosu od 950.000 eura te dobavljač Pomgrad d.o.o. u iznosu od 425.286 eura). </w:t>
      </w:r>
      <w:r w:rsidR="00ED2793" w:rsidRPr="000C2B8D">
        <w:rPr>
          <w:szCs w:val="22"/>
        </w:rPr>
        <w:t xml:space="preserve"> </w:t>
      </w:r>
    </w:p>
    <w:p w14:paraId="076494FA" w14:textId="77777777" w:rsidR="00CD78B8" w:rsidRPr="00A02495" w:rsidRDefault="00CD78B8" w:rsidP="00A02495">
      <w:pPr>
        <w:rPr>
          <w:szCs w:val="22"/>
          <w:highlight w:val="magenta"/>
        </w:rPr>
      </w:pPr>
    </w:p>
    <w:p w14:paraId="03E7B796" w14:textId="17A280EF" w:rsidR="00CD78B8" w:rsidRPr="00A02495" w:rsidRDefault="00CD78B8" w:rsidP="00A02495">
      <w:pPr>
        <w:rPr>
          <w:szCs w:val="22"/>
        </w:rPr>
      </w:pPr>
      <w:r w:rsidRPr="00A02495">
        <w:rPr>
          <w:szCs w:val="22"/>
        </w:rPr>
        <w:t xml:space="preserve">Vrijednost </w:t>
      </w:r>
      <w:r w:rsidRPr="00A02495">
        <w:rPr>
          <w:b/>
          <w:bCs/>
          <w:szCs w:val="22"/>
        </w:rPr>
        <w:t>materijalne imovine u pripremi</w:t>
      </w:r>
      <w:r w:rsidRPr="00A02495">
        <w:rPr>
          <w:szCs w:val="22"/>
        </w:rPr>
        <w:t xml:space="preserve"> (</w:t>
      </w:r>
      <w:r w:rsidR="004F4281" w:rsidRPr="00A02495">
        <w:rPr>
          <w:szCs w:val="22"/>
        </w:rPr>
        <w:t xml:space="preserve">18.883.049 </w:t>
      </w:r>
      <w:r w:rsidRPr="00A02495">
        <w:rPr>
          <w:szCs w:val="22"/>
        </w:rPr>
        <w:t>eura) bilježi</w:t>
      </w:r>
      <w:r w:rsidR="00960D36">
        <w:rPr>
          <w:szCs w:val="22"/>
        </w:rPr>
        <w:t xml:space="preserve"> značajno</w:t>
      </w:r>
      <w:r w:rsidRPr="00A02495">
        <w:rPr>
          <w:szCs w:val="22"/>
        </w:rPr>
        <w:t xml:space="preserve"> povećanje unutar imovine Društva i to za </w:t>
      </w:r>
      <w:r w:rsidR="004F4281" w:rsidRPr="00A02495">
        <w:rPr>
          <w:szCs w:val="22"/>
        </w:rPr>
        <w:t>57</w:t>
      </w:r>
      <w:r w:rsidRPr="00A02495">
        <w:rPr>
          <w:szCs w:val="22"/>
        </w:rPr>
        <w:t xml:space="preserve">% (odnosno </w:t>
      </w:r>
      <w:r w:rsidR="004F4281" w:rsidRPr="00A02495">
        <w:rPr>
          <w:szCs w:val="22"/>
        </w:rPr>
        <w:t xml:space="preserve">6.863.061 </w:t>
      </w:r>
      <w:r w:rsidRPr="00A02495">
        <w:rPr>
          <w:szCs w:val="22"/>
        </w:rPr>
        <w:t>euro) u odnosu na 202</w:t>
      </w:r>
      <w:r w:rsidR="004F4281" w:rsidRPr="00A02495">
        <w:rPr>
          <w:szCs w:val="22"/>
        </w:rPr>
        <w:t>3</w:t>
      </w:r>
      <w:r w:rsidRPr="00A02495">
        <w:rPr>
          <w:szCs w:val="22"/>
        </w:rPr>
        <w:t>. godinu</w:t>
      </w:r>
      <w:r w:rsidR="004F4281" w:rsidRPr="00A02495">
        <w:rPr>
          <w:szCs w:val="22"/>
        </w:rPr>
        <w:t>.</w:t>
      </w:r>
    </w:p>
    <w:p w14:paraId="7DC89472" w14:textId="77777777" w:rsidR="00865252" w:rsidRPr="00A02495" w:rsidRDefault="00865252" w:rsidP="00A02495">
      <w:pPr>
        <w:rPr>
          <w:szCs w:val="22"/>
        </w:rPr>
      </w:pPr>
    </w:p>
    <w:p w14:paraId="306ECE75" w14:textId="1658CBCA" w:rsidR="00865252" w:rsidRPr="00A02495" w:rsidRDefault="00865252" w:rsidP="00A02495">
      <w:pPr>
        <w:rPr>
          <w:szCs w:val="22"/>
        </w:rPr>
      </w:pPr>
      <w:r w:rsidRPr="00A02495">
        <w:rPr>
          <w:szCs w:val="22"/>
        </w:rPr>
        <w:t>Značajna materijalna imovina u pripremi, tj. ulaganja u tijeku su sljedeća:</w:t>
      </w:r>
    </w:p>
    <w:p w14:paraId="5614DB84" w14:textId="77777777" w:rsidR="00865252" w:rsidRPr="00A02495" w:rsidRDefault="00865252" w:rsidP="0094608E">
      <w:pPr>
        <w:pStyle w:val="Odlomakpopisa"/>
        <w:numPr>
          <w:ilvl w:val="0"/>
          <w:numId w:val="10"/>
        </w:numPr>
        <w:ind w:left="284" w:hanging="284"/>
        <w:rPr>
          <w:szCs w:val="22"/>
        </w:rPr>
      </w:pPr>
      <w:r w:rsidRPr="00A02495">
        <w:rPr>
          <w:szCs w:val="22"/>
        </w:rPr>
        <w:t>Izgradnja sustava javne odvodnje naselja Veli Vrh – Šijana (Aglomeracija Pula-Centar) – 3,8 milijuna eura</w:t>
      </w:r>
    </w:p>
    <w:p w14:paraId="67F9D28F" w14:textId="1E19FAD0" w:rsidR="00865252" w:rsidRPr="00A02495" w:rsidRDefault="00865252" w:rsidP="0094608E">
      <w:pPr>
        <w:pStyle w:val="Odlomakpopisa"/>
        <w:numPr>
          <w:ilvl w:val="0"/>
          <w:numId w:val="10"/>
        </w:numPr>
        <w:ind w:left="284" w:hanging="284"/>
        <w:rPr>
          <w:szCs w:val="22"/>
        </w:rPr>
      </w:pPr>
      <w:r w:rsidRPr="00A02495">
        <w:rPr>
          <w:szCs w:val="22"/>
        </w:rPr>
        <w:t>Izgradnja tlačnog cjevovoda RS Rakonek do VS Prnjani u iznosu od 3,1 milijuna eura</w:t>
      </w:r>
    </w:p>
    <w:p w14:paraId="5705A734" w14:textId="77777777" w:rsidR="00865252" w:rsidRPr="00A02495" w:rsidRDefault="00865252" w:rsidP="0094608E">
      <w:pPr>
        <w:pStyle w:val="Odlomakpopisa"/>
        <w:numPr>
          <w:ilvl w:val="0"/>
          <w:numId w:val="10"/>
        </w:numPr>
        <w:ind w:left="284" w:hanging="284"/>
        <w:rPr>
          <w:szCs w:val="22"/>
        </w:rPr>
      </w:pPr>
      <w:r w:rsidRPr="00A02495">
        <w:rPr>
          <w:szCs w:val="22"/>
        </w:rPr>
        <w:t>Vodovodna mreža naselje Veli Vrh, Šijana, Valmade, Monte Šerpo (Aglomeracija Pula-Centar) – 1,2 milijuna eura</w:t>
      </w:r>
    </w:p>
    <w:p w14:paraId="2FB188CA" w14:textId="37F4006A" w:rsidR="00865252" w:rsidRPr="00A02495" w:rsidRDefault="00865252" w:rsidP="0094608E">
      <w:pPr>
        <w:pStyle w:val="Odlomakpopisa"/>
        <w:numPr>
          <w:ilvl w:val="0"/>
          <w:numId w:val="10"/>
        </w:numPr>
        <w:ind w:left="284" w:hanging="284"/>
        <w:rPr>
          <w:szCs w:val="22"/>
        </w:rPr>
      </w:pPr>
      <w:r w:rsidRPr="00A02495">
        <w:rPr>
          <w:szCs w:val="22"/>
        </w:rPr>
        <w:t xml:space="preserve">UPOV Peroj </w:t>
      </w:r>
      <w:r w:rsidR="00B94E1F" w:rsidRPr="00A02495">
        <w:rPr>
          <w:szCs w:val="22"/>
        </w:rPr>
        <w:t xml:space="preserve">(Aglomeracija Pula Sjever) </w:t>
      </w:r>
      <w:r w:rsidRPr="00A02495">
        <w:rPr>
          <w:szCs w:val="22"/>
        </w:rPr>
        <w:t>– projektiranje i izgradnja – 1,1 milijuna eura</w:t>
      </w:r>
    </w:p>
    <w:p w14:paraId="0297D096" w14:textId="2729ABAC" w:rsidR="00D84096" w:rsidRPr="00A02495" w:rsidRDefault="00D84096" w:rsidP="0094608E">
      <w:pPr>
        <w:pStyle w:val="Odlomakpopisa"/>
        <w:numPr>
          <w:ilvl w:val="0"/>
          <w:numId w:val="10"/>
        </w:numPr>
        <w:ind w:left="284" w:hanging="284"/>
        <w:rPr>
          <w:szCs w:val="22"/>
        </w:rPr>
      </w:pPr>
      <w:r w:rsidRPr="00A02495">
        <w:rPr>
          <w:szCs w:val="22"/>
        </w:rPr>
        <w:t>Vodoopskrbna mreža na područjima mjesenih odbora Busoler, Valdebek, Šikići, Škatari -  932 tisuća eura</w:t>
      </w:r>
    </w:p>
    <w:p w14:paraId="1923A06D" w14:textId="72E192CE" w:rsidR="00865252" w:rsidRPr="00A02495" w:rsidRDefault="00865252" w:rsidP="0094608E">
      <w:pPr>
        <w:pStyle w:val="Odlomakpopisa"/>
        <w:numPr>
          <w:ilvl w:val="0"/>
          <w:numId w:val="10"/>
        </w:numPr>
        <w:ind w:left="284" w:hanging="284"/>
        <w:rPr>
          <w:szCs w:val="22"/>
        </w:rPr>
      </w:pPr>
      <w:r w:rsidRPr="00A02495">
        <w:rPr>
          <w:szCs w:val="22"/>
        </w:rPr>
        <w:t>Cjevovod Pinezići-Vodnjan, vodosprema Pinezići, vodovodni ogranci i regulacija</w:t>
      </w:r>
      <w:r w:rsidR="00B94E1F" w:rsidRPr="00A02495">
        <w:rPr>
          <w:szCs w:val="22"/>
        </w:rPr>
        <w:t xml:space="preserve"> (Aglomeracija Pula Sjever)</w:t>
      </w:r>
      <w:r w:rsidRPr="00A02495">
        <w:rPr>
          <w:szCs w:val="22"/>
        </w:rPr>
        <w:t xml:space="preserve"> – 393 tisuća eura</w:t>
      </w:r>
    </w:p>
    <w:p w14:paraId="2E9C4B24" w14:textId="5047C930" w:rsidR="00865252" w:rsidRPr="00A02495" w:rsidRDefault="00865252" w:rsidP="0094608E">
      <w:pPr>
        <w:pStyle w:val="Odlomakpopisa"/>
        <w:numPr>
          <w:ilvl w:val="0"/>
          <w:numId w:val="10"/>
        </w:numPr>
        <w:ind w:left="284" w:hanging="284"/>
        <w:rPr>
          <w:szCs w:val="22"/>
        </w:rPr>
      </w:pPr>
      <w:r w:rsidRPr="00A02495">
        <w:rPr>
          <w:szCs w:val="22"/>
        </w:rPr>
        <w:t xml:space="preserve">Havarijski ispust CS Fažana Badel i CS Puntižela </w:t>
      </w:r>
      <w:r w:rsidR="00B94E1F" w:rsidRPr="00A02495">
        <w:rPr>
          <w:szCs w:val="22"/>
        </w:rPr>
        <w:t xml:space="preserve">(Aglomeracija Pula sjever) </w:t>
      </w:r>
      <w:r w:rsidRPr="00A02495">
        <w:rPr>
          <w:szCs w:val="22"/>
        </w:rPr>
        <w:t>– 301 tisuća eura</w:t>
      </w:r>
    </w:p>
    <w:p w14:paraId="38D59ACB" w14:textId="329EE8CE" w:rsidR="00B9246B" w:rsidRPr="00A02495" w:rsidRDefault="00B9246B" w:rsidP="0094608E">
      <w:pPr>
        <w:pStyle w:val="Odlomakpopisa"/>
        <w:numPr>
          <w:ilvl w:val="0"/>
          <w:numId w:val="10"/>
        </w:numPr>
        <w:ind w:left="284" w:hanging="284"/>
        <w:rPr>
          <w:szCs w:val="22"/>
        </w:rPr>
      </w:pPr>
      <w:r w:rsidRPr="00A02495">
        <w:rPr>
          <w:szCs w:val="22"/>
        </w:rPr>
        <w:t>Vodovodna mreža naselja Burle – 297 tisuća eura</w:t>
      </w:r>
    </w:p>
    <w:p w14:paraId="5E5AE3FF" w14:textId="0C41DD09" w:rsidR="00865252" w:rsidRPr="00A02495" w:rsidRDefault="00865252" w:rsidP="0094608E">
      <w:pPr>
        <w:pStyle w:val="Odlomakpopisa"/>
        <w:numPr>
          <w:ilvl w:val="0"/>
          <w:numId w:val="10"/>
        </w:numPr>
        <w:ind w:left="284" w:hanging="284"/>
        <w:rPr>
          <w:szCs w:val="22"/>
        </w:rPr>
      </w:pPr>
      <w:r w:rsidRPr="00A02495">
        <w:rPr>
          <w:szCs w:val="22"/>
        </w:rPr>
        <w:t>Izgradnja sanitarne odvodnje dijela nas</w:t>
      </w:r>
      <w:r w:rsidR="000C6F40" w:rsidRPr="00A02495">
        <w:rPr>
          <w:szCs w:val="22"/>
        </w:rPr>
        <w:t>e</w:t>
      </w:r>
      <w:r w:rsidRPr="00A02495">
        <w:rPr>
          <w:szCs w:val="22"/>
        </w:rPr>
        <w:t>lja Valmade , Monte Šerpo, Kanali – 199 tisuća eura</w:t>
      </w:r>
    </w:p>
    <w:p w14:paraId="4A03BFA5" w14:textId="6488205E" w:rsidR="00B94E1F" w:rsidRPr="00A02495" w:rsidRDefault="00B94E1F" w:rsidP="0094608E">
      <w:pPr>
        <w:pStyle w:val="Odlomakpopisa"/>
        <w:numPr>
          <w:ilvl w:val="0"/>
          <w:numId w:val="10"/>
        </w:numPr>
        <w:ind w:left="284" w:hanging="284"/>
        <w:rPr>
          <w:szCs w:val="22"/>
        </w:rPr>
      </w:pPr>
      <w:r w:rsidRPr="00A02495">
        <w:rPr>
          <w:szCs w:val="22"/>
        </w:rPr>
        <w:t>Vodovodna mreža na otočju Brijuni – 166 tisuća eura</w:t>
      </w:r>
    </w:p>
    <w:p w14:paraId="764C3487" w14:textId="15391245" w:rsidR="00B94E1F" w:rsidRPr="00A02495" w:rsidRDefault="000C6F40" w:rsidP="0094608E">
      <w:pPr>
        <w:pStyle w:val="Odlomakpopisa"/>
        <w:numPr>
          <w:ilvl w:val="0"/>
          <w:numId w:val="10"/>
        </w:numPr>
        <w:ind w:left="284" w:hanging="284"/>
        <w:rPr>
          <w:szCs w:val="22"/>
        </w:rPr>
      </w:pPr>
      <w:r w:rsidRPr="00A02495">
        <w:rPr>
          <w:szCs w:val="22"/>
        </w:rPr>
        <w:t xml:space="preserve">Aglomeracija Pula Jug (Medulin, Premantura, Banjole) – rješavanje imovinsko pravnih odnosa </w:t>
      </w:r>
      <w:r w:rsidR="00B9246B" w:rsidRPr="00A02495">
        <w:rPr>
          <w:szCs w:val="22"/>
        </w:rPr>
        <w:t>– 125 tisuća eura</w:t>
      </w:r>
      <w:r w:rsidRPr="00A02495">
        <w:rPr>
          <w:szCs w:val="22"/>
        </w:rPr>
        <w:t xml:space="preserve"> </w:t>
      </w:r>
    </w:p>
    <w:p w14:paraId="4A4D5236" w14:textId="40CEA2C3" w:rsidR="00B94E1F" w:rsidRPr="00A02495" w:rsidRDefault="00B94E1F" w:rsidP="0094608E">
      <w:pPr>
        <w:pStyle w:val="Odlomakpopisa"/>
        <w:numPr>
          <w:ilvl w:val="0"/>
          <w:numId w:val="10"/>
        </w:numPr>
        <w:ind w:left="284" w:hanging="284"/>
        <w:rPr>
          <w:szCs w:val="22"/>
        </w:rPr>
      </w:pPr>
      <w:r w:rsidRPr="00A02495">
        <w:rPr>
          <w:szCs w:val="22"/>
        </w:rPr>
        <w:t>Proširenje sekundarne mreže Vodnjan i Pula u okviru Projekta (Aglomeracija Pula Sjever) – 141 tisuća eura</w:t>
      </w:r>
    </w:p>
    <w:p w14:paraId="1E27D5A8" w14:textId="64BD2404" w:rsidR="0040321F" w:rsidRPr="00C269AC" w:rsidRDefault="00B9246B" w:rsidP="00A02495">
      <w:pPr>
        <w:pStyle w:val="Odlomakpopisa"/>
        <w:numPr>
          <w:ilvl w:val="0"/>
          <w:numId w:val="10"/>
        </w:numPr>
        <w:ind w:left="284" w:hanging="284"/>
        <w:rPr>
          <w:szCs w:val="22"/>
        </w:rPr>
      </w:pPr>
      <w:r w:rsidRPr="00A02495">
        <w:rPr>
          <w:szCs w:val="22"/>
        </w:rPr>
        <w:t>Izgradnja vodovodne mreže PK Klarići – odvojak Sv. Kirin, Majmajola na području Vodnjana – 108 tisuća eura</w:t>
      </w:r>
    </w:p>
    <w:p w14:paraId="075A9821" w14:textId="799F8B9E" w:rsidR="0040321F" w:rsidRDefault="0040321F" w:rsidP="00A02495">
      <w:pPr>
        <w:rPr>
          <w:highlight w:val="yellow"/>
        </w:rPr>
      </w:pPr>
    </w:p>
    <w:p w14:paraId="7C44661C" w14:textId="7CA745D3" w:rsidR="00C269AC" w:rsidRPr="002032B4" w:rsidRDefault="00C269AC" w:rsidP="00A02495">
      <w:r w:rsidRPr="002032B4">
        <w:t xml:space="preserve">Na materijalnu imovinu u pripremi koja je </w:t>
      </w:r>
      <w:r w:rsidR="002032B4" w:rsidRPr="002032B4">
        <w:t>rezultat prijenosa imovine u pripremi iz društva</w:t>
      </w:r>
      <w:r w:rsidRPr="002032B4">
        <w:t xml:space="preserve"> Pragrande d.o.o. odnosi se 4.321.831 eura, a obuhvaća:</w:t>
      </w:r>
    </w:p>
    <w:p w14:paraId="66A63CD4" w14:textId="4BED2784" w:rsidR="00C269AC" w:rsidRPr="002032B4" w:rsidRDefault="00C269AC" w:rsidP="00C269AC">
      <w:pPr>
        <w:pStyle w:val="Odlomakpopisa"/>
        <w:numPr>
          <w:ilvl w:val="0"/>
          <w:numId w:val="32"/>
        </w:numPr>
      </w:pPr>
      <w:r w:rsidRPr="002032B4">
        <w:t>Kanalizacijski sustav grada Pule (MEIP, Jadranski projekt II) – 959.698 eura</w:t>
      </w:r>
    </w:p>
    <w:p w14:paraId="1CF27681" w14:textId="3288B15C" w:rsidR="00C269AC" w:rsidRPr="002032B4" w:rsidRDefault="00C269AC" w:rsidP="00C269AC">
      <w:pPr>
        <w:pStyle w:val="Odlomakpopisa"/>
        <w:numPr>
          <w:ilvl w:val="0"/>
          <w:numId w:val="32"/>
        </w:numPr>
      </w:pPr>
      <w:r w:rsidRPr="002032B4">
        <w:t>Građevinski objekti sliv Pula – 294.011 eura</w:t>
      </w:r>
    </w:p>
    <w:p w14:paraId="0E973048" w14:textId="767970C5" w:rsidR="00C269AC" w:rsidRPr="002032B4" w:rsidRDefault="00C269AC" w:rsidP="00C269AC">
      <w:pPr>
        <w:pStyle w:val="Odlomakpopisa"/>
        <w:numPr>
          <w:ilvl w:val="0"/>
          <w:numId w:val="32"/>
        </w:numPr>
      </w:pPr>
      <w:r w:rsidRPr="002032B4">
        <w:t>EU projekti Pula centar – 1.692.082 eura</w:t>
      </w:r>
    </w:p>
    <w:p w14:paraId="191C2C19" w14:textId="1CEC33EB" w:rsidR="00C269AC" w:rsidRPr="002032B4" w:rsidRDefault="00C269AC" w:rsidP="00C269AC">
      <w:pPr>
        <w:pStyle w:val="Odlomakpopisa"/>
        <w:numPr>
          <w:ilvl w:val="0"/>
          <w:numId w:val="32"/>
        </w:numPr>
      </w:pPr>
      <w:r w:rsidRPr="002032B4">
        <w:t>EU projekti Pula sjever – 1.319.662 eura</w:t>
      </w:r>
    </w:p>
    <w:p w14:paraId="406BB577" w14:textId="5D0A8399" w:rsidR="00C269AC" w:rsidRPr="002032B4" w:rsidRDefault="00C269AC" w:rsidP="00C269AC">
      <w:pPr>
        <w:pStyle w:val="Odlomakpopisa"/>
        <w:numPr>
          <w:ilvl w:val="0"/>
          <w:numId w:val="32"/>
        </w:numPr>
      </w:pPr>
      <w:r w:rsidRPr="002032B4">
        <w:t>Građevinski objekti sliv Peroj-Fažana-Vodnjan-Galižana – 52.856 eura</w:t>
      </w:r>
    </w:p>
    <w:p w14:paraId="55F9CBBF" w14:textId="604607A1" w:rsidR="00C269AC" w:rsidRPr="002032B4" w:rsidRDefault="00C269AC" w:rsidP="00C269AC">
      <w:pPr>
        <w:pStyle w:val="Odlomakpopisa"/>
        <w:numPr>
          <w:ilvl w:val="0"/>
          <w:numId w:val="32"/>
        </w:numPr>
      </w:pPr>
      <w:r w:rsidRPr="002032B4">
        <w:t>Ostala oprema – 3.522 eura</w:t>
      </w:r>
    </w:p>
    <w:p w14:paraId="28D3F41B" w14:textId="77777777" w:rsidR="00C269AC" w:rsidRDefault="00C269AC" w:rsidP="00A02495">
      <w:pPr>
        <w:rPr>
          <w:highlight w:val="yellow"/>
        </w:rPr>
      </w:pPr>
    </w:p>
    <w:p w14:paraId="637285E3" w14:textId="77777777" w:rsidR="004F4281" w:rsidRDefault="004F4281" w:rsidP="00A02495"/>
    <w:p w14:paraId="57DF1649" w14:textId="5C846372" w:rsidR="0040321F" w:rsidRPr="00A02495" w:rsidRDefault="0040321F" w:rsidP="00A02495">
      <w:r w:rsidRPr="00A02495">
        <w:lastRenderedPageBreak/>
        <w:t>Tijekom godine ukupno je investirano 12.268.868 eura, što je za 56% više u odnosu na 2023. godinu. U izgradnju i rekonstrukciju vodovodne mreže investirano je 5.087.093 eura, u izgradnju i rekonstrukciju mreže odvodnje 4.966.310 eura, te u osnovnu djelatnost 2.215.465 eura.</w:t>
      </w:r>
    </w:p>
    <w:p w14:paraId="453D9F78" w14:textId="77777777" w:rsidR="00386A30" w:rsidRPr="00A02495" w:rsidRDefault="00386A30" w:rsidP="00A02495"/>
    <w:p w14:paraId="681B9D87" w14:textId="6867F5DC" w:rsidR="0086697B" w:rsidRPr="00A02495" w:rsidRDefault="00893DE5" w:rsidP="00A02495">
      <w:r w:rsidRPr="00A02495">
        <w:t>Značajne investicij</w:t>
      </w:r>
      <w:r w:rsidR="00C060E7" w:rsidRPr="00A02495">
        <w:t>e</w:t>
      </w:r>
      <w:r w:rsidRPr="00A02495">
        <w:t xml:space="preserve"> u vodovodnu mrežu </w:t>
      </w:r>
      <w:r w:rsidR="0029628C" w:rsidRPr="00A02495">
        <w:t>tijekom 202</w:t>
      </w:r>
      <w:r w:rsidR="009E2C22" w:rsidRPr="00A02495">
        <w:t>4</w:t>
      </w:r>
      <w:r w:rsidR="00E0717E" w:rsidRPr="00A02495">
        <w:t xml:space="preserve">. godine </w:t>
      </w:r>
      <w:r w:rsidR="005D29EE" w:rsidRPr="00A02495">
        <w:t>su:</w:t>
      </w:r>
      <w:r w:rsidR="00F547E1" w:rsidRPr="00A02495">
        <w:t xml:space="preserve"> </w:t>
      </w:r>
    </w:p>
    <w:p w14:paraId="753E2853" w14:textId="77777777" w:rsidR="009A14F9" w:rsidRPr="00A02495" w:rsidRDefault="009A14F9" w:rsidP="00A02495"/>
    <w:tbl>
      <w:tblPr>
        <w:tblW w:w="9082" w:type="dxa"/>
        <w:tblInd w:w="-10" w:type="dxa"/>
        <w:tblLook w:val="04A0" w:firstRow="1" w:lastRow="0" w:firstColumn="1" w:lastColumn="0" w:noHBand="0" w:noVBand="1"/>
      </w:tblPr>
      <w:tblGrid>
        <w:gridCol w:w="7665"/>
        <w:gridCol w:w="1417"/>
      </w:tblGrid>
      <w:tr w:rsidR="009A14F9" w:rsidRPr="005347D5" w14:paraId="39544711" w14:textId="77777777" w:rsidTr="005347D5">
        <w:trPr>
          <w:trHeight w:val="397"/>
        </w:trPr>
        <w:tc>
          <w:tcPr>
            <w:tcW w:w="7665" w:type="dxa"/>
            <w:tcBorders>
              <w:top w:val="single" w:sz="8" w:space="0" w:color="404040" w:themeColor="text1" w:themeTint="BF"/>
              <w:bottom w:val="single" w:sz="8" w:space="0" w:color="404040" w:themeColor="text1" w:themeTint="BF"/>
            </w:tcBorders>
            <w:shd w:val="clear" w:color="000000" w:fill="D9D9D9"/>
            <w:vAlign w:val="center"/>
            <w:hideMark/>
          </w:tcPr>
          <w:p w14:paraId="5915A2F9" w14:textId="1D032726" w:rsidR="009A14F9" w:rsidRPr="005347D5" w:rsidRDefault="001522B0" w:rsidP="00A02495">
            <w:pPr>
              <w:rPr>
                <w:b/>
                <w:bCs/>
                <w:sz w:val="18"/>
                <w:szCs w:val="18"/>
                <w:lang w:eastAsia="hr-HR"/>
              </w:rPr>
            </w:pPr>
            <w:r>
              <w:rPr>
                <w:b/>
                <w:bCs/>
                <w:sz w:val="18"/>
                <w:szCs w:val="18"/>
                <w:lang w:eastAsia="hr-HR"/>
              </w:rPr>
              <w:t>Značajne investicije – VODOVODNA MREŽA</w:t>
            </w:r>
          </w:p>
        </w:tc>
        <w:tc>
          <w:tcPr>
            <w:tcW w:w="1417" w:type="dxa"/>
            <w:tcBorders>
              <w:top w:val="single" w:sz="8" w:space="0" w:color="404040" w:themeColor="text1" w:themeTint="BF"/>
              <w:bottom w:val="single" w:sz="8" w:space="0" w:color="404040" w:themeColor="text1" w:themeTint="BF"/>
            </w:tcBorders>
            <w:shd w:val="clear" w:color="000000" w:fill="D9D9D9"/>
            <w:vAlign w:val="center"/>
            <w:hideMark/>
          </w:tcPr>
          <w:p w14:paraId="2132B554" w14:textId="50AB5EE2" w:rsidR="00BE0F7F" w:rsidRPr="005347D5" w:rsidRDefault="009A14F9" w:rsidP="00BE0F7F">
            <w:pPr>
              <w:jc w:val="center"/>
              <w:rPr>
                <w:b/>
                <w:bCs/>
                <w:sz w:val="18"/>
                <w:szCs w:val="18"/>
                <w:lang w:eastAsia="hr-HR"/>
              </w:rPr>
            </w:pPr>
            <w:r w:rsidRPr="005347D5">
              <w:rPr>
                <w:b/>
                <w:bCs/>
                <w:sz w:val="18"/>
                <w:szCs w:val="18"/>
                <w:lang w:eastAsia="hr-HR"/>
              </w:rPr>
              <w:t>IZNOS</w:t>
            </w:r>
          </w:p>
          <w:p w14:paraId="2E1A12E9" w14:textId="79E2B3C7" w:rsidR="009A14F9" w:rsidRPr="005347D5" w:rsidRDefault="009A14F9" w:rsidP="00A02495">
            <w:pPr>
              <w:rPr>
                <w:b/>
                <w:bCs/>
                <w:sz w:val="18"/>
                <w:szCs w:val="18"/>
                <w:lang w:eastAsia="hr-HR"/>
              </w:rPr>
            </w:pPr>
            <w:r w:rsidRPr="005347D5">
              <w:rPr>
                <w:b/>
                <w:bCs/>
                <w:sz w:val="18"/>
                <w:szCs w:val="18"/>
                <w:lang w:eastAsia="hr-HR"/>
              </w:rPr>
              <w:t xml:space="preserve">( tisuća </w:t>
            </w:r>
            <w:r w:rsidR="00BE0F7F" w:rsidRPr="005347D5">
              <w:rPr>
                <w:b/>
                <w:bCs/>
                <w:sz w:val="18"/>
                <w:szCs w:val="18"/>
                <w:lang w:eastAsia="hr-HR"/>
              </w:rPr>
              <w:t>eura</w:t>
            </w:r>
            <w:r w:rsidRPr="005347D5">
              <w:rPr>
                <w:b/>
                <w:bCs/>
                <w:sz w:val="18"/>
                <w:szCs w:val="18"/>
                <w:lang w:eastAsia="hr-HR"/>
              </w:rPr>
              <w:t>)</w:t>
            </w:r>
          </w:p>
        </w:tc>
      </w:tr>
      <w:tr w:rsidR="009A14F9" w:rsidRPr="00A02495" w14:paraId="0BD4A01A" w14:textId="77777777" w:rsidTr="005347D5">
        <w:trPr>
          <w:trHeight w:val="397"/>
        </w:trPr>
        <w:tc>
          <w:tcPr>
            <w:tcW w:w="7665" w:type="dxa"/>
            <w:tcBorders>
              <w:top w:val="single" w:sz="8" w:space="0" w:color="404040" w:themeColor="text1" w:themeTint="BF"/>
              <w:bottom w:val="single" w:sz="4" w:space="0" w:color="BFBFBF" w:themeColor="background1" w:themeShade="BF"/>
            </w:tcBorders>
            <w:shd w:val="clear" w:color="auto" w:fill="auto"/>
            <w:vAlign w:val="center"/>
            <w:hideMark/>
          </w:tcPr>
          <w:p w14:paraId="71372985" w14:textId="77777777" w:rsidR="009A14F9" w:rsidRPr="00A02495" w:rsidRDefault="009A14F9" w:rsidP="00A02495">
            <w:pPr>
              <w:rPr>
                <w:sz w:val="18"/>
                <w:szCs w:val="18"/>
                <w:lang w:eastAsia="hr-HR"/>
              </w:rPr>
            </w:pPr>
            <w:r w:rsidRPr="00A02495">
              <w:rPr>
                <w:sz w:val="18"/>
                <w:szCs w:val="18"/>
                <w:lang w:eastAsia="hr-HR"/>
              </w:rPr>
              <w:t>Izgradnja vodovodne mreže – Tlačni cjevovod RS Rakonek – VS Prnjani građenje, nadzor i vođenje projekta</w:t>
            </w:r>
          </w:p>
        </w:tc>
        <w:tc>
          <w:tcPr>
            <w:tcW w:w="1417" w:type="dxa"/>
            <w:tcBorders>
              <w:top w:val="single" w:sz="8" w:space="0" w:color="404040" w:themeColor="text1" w:themeTint="BF"/>
              <w:bottom w:val="single" w:sz="4" w:space="0" w:color="BFBFBF" w:themeColor="background1" w:themeShade="BF"/>
            </w:tcBorders>
            <w:shd w:val="clear" w:color="auto" w:fill="auto"/>
            <w:noWrap/>
            <w:vAlign w:val="center"/>
            <w:hideMark/>
          </w:tcPr>
          <w:p w14:paraId="6C40C50E" w14:textId="77777777" w:rsidR="009A14F9" w:rsidRPr="00A02495" w:rsidRDefault="009A14F9" w:rsidP="00A02495">
            <w:pPr>
              <w:jc w:val="center"/>
              <w:rPr>
                <w:sz w:val="18"/>
                <w:szCs w:val="18"/>
                <w:lang w:eastAsia="hr-HR"/>
              </w:rPr>
            </w:pPr>
            <w:r w:rsidRPr="00A02495">
              <w:rPr>
                <w:sz w:val="18"/>
                <w:szCs w:val="18"/>
                <w:lang w:eastAsia="hr-HR"/>
              </w:rPr>
              <w:t>949</w:t>
            </w:r>
          </w:p>
        </w:tc>
      </w:tr>
      <w:tr w:rsidR="009A14F9" w:rsidRPr="00A02495" w14:paraId="37182D83" w14:textId="77777777" w:rsidTr="005347D5">
        <w:trPr>
          <w:trHeight w:val="397"/>
        </w:trPr>
        <w:tc>
          <w:tcPr>
            <w:tcW w:w="7665" w:type="dxa"/>
            <w:tcBorders>
              <w:top w:val="single" w:sz="4" w:space="0" w:color="BFBFBF" w:themeColor="background1" w:themeShade="BF"/>
              <w:bottom w:val="single" w:sz="4" w:space="0" w:color="BFBFBF" w:themeColor="background1" w:themeShade="BF"/>
            </w:tcBorders>
            <w:shd w:val="clear" w:color="auto" w:fill="auto"/>
            <w:vAlign w:val="center"/>
            <w:hideMark/>
          </w:tcPr>
          <w:p w14:paraId="770EBC37" w14:textId="77777777" w:rsidR="009A14F9" w:rsidRPr="00A02495" w:rsidRDefault="009A14F9" w:rsidP="00A02495">
            <w:pPr>
              <w:rPr>
                <w:sz w:val="18"/>
                <w:szCs w:val="18"/>
                <w:lang w:eastAsia="hr-HR"/>
              </w:rPr>
            </w:pPr>
            <w:r w:rsidRPr="00A02495">
              <w:rPr>
                <w:sz w:val="18"/>
                <w:szCs w:val="18"/>
                <w:lang w:eastAsia="hr-HR"/>
              </w:rPr>
              <w:t>Izgradnja sustava vodovodne mreže Veli Vrh - Šijana, (Aglomeracija Pula centar)</w:t>
            </w:r>
          </w:p>
        </w:tc>
        <w:tc>
          <w:tcPr>
            <w:tcW w:w="1417" w:type="dxa"/>
            <w:tcBorders>
              <w:top w:val="single" w:sz="4" w:space="0" w:color="BFBFBF" w:themeColor="background1" w:themeShade="BF"/>
              <w:bottom w:val="single" w:sz="4" w:space="0" w:color="BFBFBF" w:themeColor="background1" w:themeShade="BF"/>
            </w:tcBorders>
            <w:shd w:val="clear" w:color="auto" w:fill="auto"/>
            <w:noWrap/>
            <w:vAlign w:val="center"/>
            <w:hideMark/>
          </w:tcPr>
          <w:p w14:paraId="0B5781B8" w14:textId="77777777" w:rsidR="009A14F9" w:rsidRPr="00A02495" w:rsidRDefault="009A14F9" w:rsidP="00A02495">
            <w:pPr>
              <w:jc w:val="center"/>
              <w:rPr>
                <w:sz w:val="18"/>
                <w:szCs w:val="18"/>
                <w:lang w:eastAsia="hr-HR"/>
              </w:rPr>
            </w:pPr>
            <w:r w:rsidRPr="00A02495">
              <w:rPr>
                <w:sz w:val="18"/>
                <w:szCs w:val="18"/>
                <w:lang w:eastAsia="hr-HR"/>
              </w:rPr>
              <w:t>732</w:t>
            </w:r>
          </w:p>
        </w:tc>
      </w:tr>
      <w:tr w:rsidR="009A14F9" w:rsidRPr="00A02495" w14:paraId="7A5E97C6" w14:textId="77777777" w:rsidTr="005347D5">
        <w:trPr>
          <w:trHeight w:val="397"/>
        </w:trPr>
        <w:tc>
          <w:tcPr>
            <w:tcW w:w="7665" w:type="dxa"/>
            <w:tcBorders>
              <w:top w:val="single" w:sz="4" w:space="0" w:color="BFBFBF" w:themeColor="background1" w:themeShade="BF"/>
              <w:bottom w:val="single" w:sz="4" w:space="0" w:color="BFBFBF" w:themeColor="background1" w:themeShade="BF"/>
            </w:tcBorders>
            <w:shd w:val="clear" w:color="auto" w:fill="auto"/>
            <w:vAlign w:val="center"/>
            <w:hideMark/>
          </w:tcPr>
          <w:p w14:paraId="3596C0E0" w14:textId="77777777" w:rsidR="009A14F9" w:rsidRPr="00A02495" w:rsidRDefault="009A14F9" w:rsidP="00A02495">
            <w:pPr>
              <w:rPr>
                <w:sz w:val="18"/>
                <w:szCs w:val="18"/>
                <w:lang w:eastAsia="hr-HR"/>
              </w:rPr>
            </w:pPr>
            <w:r w:rsidRPr="00A02495">
              <w:rPr>
                <w:sz w:val="18"/>
                <w:szCs w:val="18"/>
                <w:lang w:eastAsia="hr-HR"/>
              </w:rPr>
              <w:t>Izgradnja sustava vodovodne mreže - Monte Šerpo II. Faza</w:t>
            </w:r>
          </w:p>
        </w:tc>
        <w:tc>
          <w:tcPr>
            <w:tcW w:w="1417" w:type="dxa"/>
            <w:tcBorders>
              <w:top w:val="single" w:sz="4" w:space="0" w:color="BFBFBF" w:themeColor="background1" w:themeShade="BF"/>
              <w:bottom w:val="single" w:sz="4" w:space="0" w:color="BFBFBF" w:themeColor="background1" w:themeShade="BF"/>
            </w:tcBorders>
            <w:shd w:val="clear" w:color="auto" w:fill="auto"/>
            <w:noWrap/>
            <w:vAlign w:val="center"/>
            <w:hideMark/>
          </w:tcPr>
          <w:p w14:paraId="73721362" w14:textId="77777777" w:rsidR="009A14F9" w:rsidRPr="00A02495" w:rsidRDefault="009A14F9" w:rsidP="00A02495">
            <w:pPr>
              <w:jc w:val="center"/>
              <w:rPr>
                <w:sz w:val="18"/>
                <w:szCs w:val="18"/>
                <w:lang w:eastAsia="hr-HR"/>
              </w:rPr>
            </w:pPr>
            <w:r w:rsidRPr="00A02495">
              <w:rPr>
                <w:sz w:val="18"/>
                <w:szCs w:val="18"/>
                <w:lang w:eastAsia="hr-HR"/>
              </w:rPr>
              <w:t>516</w:t>
            </w:r>
          </w:p>
        </w:tc>
      </w:tr>
      <w:tr w:rsidR="009A14F9" w:rsidRPr="00A02495" w14:paraId="3E841021" w14:textId="77777777" w:rsidTr="005347D5">
        <w:trPr>
          <w:trHeight w:val="397"/>
        </w:trPr>
        <w:tc>
          <w:tcPr>
            <w:tcW w:w="7665" w:type="dxa"/>
            <w:tcBorders>
              <w:top w:val="single" w:sz="4" w:space="0" w:color="BFBFBF" w:themeColor="background1" w:themeShade="BF"/>
              <w:bottom w:val="single" w:sz="4" w:space="0" w:color="BFBFBF" w:themeColor="background1" w:themeShade="BF"/>
            </w:tcBorders>
            <w:shd w:val="clear" w:color="auto" w:fill="auto"/>
            <w:vAlign w:val="center"/>
            <w:hideMark/>
          </w:tcPr>
          <w:p w14:paraId="19F18CD4" w14:textId="77777777" w:rsidR="009A14F9" w:rsidRPr="00A02495" w:rsidRDefault="009A14F9" w:rsidP="00A02495">
            <w:pPr>
              <w:rPr>
                <w:sz w:val="18"/>
                <w:szCs w:val="18"/>
                <w:lang w:eastAsia="hr-HR"/>
              </w:rPr>
            </w:pPr>
            <w:r w:rsidRPr="00A02495">
              <w:rPr>
                <w:sz w:val="18"/>
                <w:szCs w:val="18"/>
                <w:lang w:eastAsia="hr-HR"/>
              </w:rPr>
              <w:t xml:space="preserve">Cjevovod Pinezići – Vodnjan, vodosprema Pinezići, vodovodni ogranci i regulacija okna u Vodnjanu (Aglomeracija Pula sjever) </w:t>
            </w:r>
          </w:p>
        </w:tc>
        <w:tc>
          <w:tcPr>
            <w:tcW w:w="1417" w:type="dxa"/>
            <w:tcBorders>
              <w:top w:val="single" w:sz="4" w:space="0" w:color="BFBFBF" w:themeColor="background1" w:themeShade="BF"/>
              <w:bottom w:val="single" w:sz="4" w:space="0" w:color="BFBFBF" w:themeColor="background1" w:themeShade="BF"/>
            </w:tcBorders>
            <w:shd w:val="clear" w:color="auto" w:fill="auto"/>
            <w:noWrap/>
            <w:vAlign w:val="center"/>
            <w:hideMark/>
          </w:tcPr>
          <w:p w14:paraId="62B46B45" w14:textId="77777777" w:rsidR="009A14F9" w:rsidRPr="00A02495" w:rsidRDefault="009A14F9" w:rsidP="00A02495">
            <w:pPr>
              <w:jc w:val="center"/>
              <w:rPr>
                <w:sz w:val="18"/>
                <w:szCs w:val="18"/>
                <w:lang w:eastAsia="hr-HR"/>
              </w:rPr>
            </w:pPr>
            <w:r w:rsidRPr="00A02495">
              <w:rPr>
                <w:sz w:val="18"/>
                <w:szCs w:val="18"/>
                <w:lang w:eastAsia="hr-HR"/>
              </w:rPr>
              <w:t>277</w:t>
            </w:r>
          </w:p>
        </w:tc>
      </w:tr>
      <w:tr w:rsidR="009A14F9" w:rsidRPr="00A02495" w14:paraId="414BBBBD" w14:textId="77777777" w:rsidTr="005347D5">
        <w:trPr>
          <w:trHeight w:val="397"/>
        </w:trPr>
        <w:tc>
          <w:tcPr>
            <w:tcW w:w="7665" w:type="dxa"/>
            <w:tcBorders>
              <w:top w:val="single" w:sz="4" w:space="0" w:color="BFBFBF" w:themeColor="background1" w:themeShade="BF"/>
              <w:bottom w:val="single" w:sz="4" w:space="0" w:color="BFBFBF" w:themeColor="background1" w:themeShade="BF"/>
            </w:tcBorders>
            <w:shd w:val="clear" w:color="auto" w:fill="auto"/>
            <w:vAlign w:val="center"/>
            <w:hideMark/>
          </w:tcPr>
          <w:p w14:paraId="6B6BA890" w14:textId="77777777" w:rsidR="009A14F9" w:rsidRPr="00A02495" w:rsidRDefault="009A14F9" w:rsidP="00A02495">
            <w:pPr>
              <w:rPr>
                <w:sz w:val="18"/>
                <w:szCs w:val="18"/>
                <w:lang w:eastAsia="hr-HR"/>
              </w:rPr>
            </w:pPr>
            <w:r w:rsidRPr="00A02495">
              <w:rPr>
                <w:sz w:val="18"/>
                <w:szCs w:val="18"/>
                <w:lang w:eastAsia="hr-HR"/>
              </w:rPr>
              <w:t>Rekonstrukcija i izgradnja vodoopskrbnog cjevovoda Štokovci – Gilešići</w:t>
            </w:r>
          </w:p>
        </w:tc>
        <w:tc>
          <w:tcPr>
            <w:tcW w:w="1417" w:type="dxa"/>
            <w:tcBorders>
              <w:top w:val="single" w:sz="4" w:space="0" w:color="BFBFBF" w:themeColor="background1" w:themeShade="BF"/>
              <w:bottom w:val="single" w:sz="4" w:space="0" w:color="BFBFBF" w:themeColor="background1" w:themeShade="BF"/>
            </w:tcBorders>
            <w:shd w:val="clear" w:color="auto" w:fill="auto"/>
            <w:noWrap/>
            <w:vAlign w:val="center"/>
            <w:hideMark/>
          </w:tcPr>
          <w:p w14:paraId="1C2E8FB4" w14:textId="77777777" w:rsidR="009A14F9" w:rsidRPr="00A02495" w:rsidRDefault="009A14F9" w:rsidP="00A02495">
            <w:pPr>
              <w:jc w:val="center"/>
              <w:rPr>
                <w:sz w:val="18"/>
                <w:szCs w:val="18"/>
                <w:lang w:eastAsia="hr-HR"/>
              </w:rPr>
            </w:pPr>
            <w:r w:rsidRPr="00A02495">
              <w:rPr>
                <w:sz w:val="18"/>
                <w:szCs w:val="18"/>
                <w:lang w:eastAsia="hr-HR"/>
              </w:rPr>
              <w:t>275</w:t>
            </w:r>
          </w:p>
        </w:tc>
      </w:tr>
      <w:tr w:rsidR="009A14F9" w:rsidRPr="00A02495" w14:paraId="286B565E" w14:textId="77777777" w:rsidTr="005347D5">
        <w:trPr>
          <w:trHeight w:val="397"/>
        </w:trPr>
        <w:tc>
          <w:tcPr>
            <w:tcW w:w="7665" w:type="dxa"/>
            <w:tcBorders>
              <w:top w:val="single" w:sz="4" w:space="0" w:color="BFBFBF" w:themeColor="background1" w:themeShade="BF"/>
              <w:bottom w:val="single" w:sz="4" w:space="0" w:color="BFBFBF" w:themeColor="background1" w:themeShade="BF"/>
            </w:tcBorders>
            <w:shd w:val="clear" w:color="auto" w:fill="auto"/>
            <w:vAlign w:val="center"/>
            <w:hideMark/>
          </w:tcPr>
          <w:p w14:paraId="116E2937" w14:textId="77777777" w:rsidR="009A14F9" w:rsidRPr="00A02495" w:rsidRDefault="009A14F9" w:rsidP="00A02495">
            <w:pPr>
              <w:rPr>
                <w:sz w:val="18"/>
                <w:szCs w:val="18"/>
                <w:lang w:eastAsia="hr-HR"/>
              </w:rPr>
            </w:pPr>
            <w:r w:rsidRPr="00A02495">
              <w:rPr>
                <w:sz w:val="18"/>
                <w:szCs w:val="18"/>
                <w:lang w:eastAsia="hr-HR"/>
              </w:rPr>
              <w:t>Izgradnja magistralnog cjevovoda u ul. Veruda Hotel Valkane (ugovor o financiranju)</w:t>
            </w:r>
          </w:p>
        </w:tc>
        <w:tc>
          <w:tcPr>
            <w:tcW w:w="1417" w:type="dxa"/>
            <w:tcBorders>
              <w:top w:val="single" w:sz="4" w:space="0" w:color="BFBFBF" w:themeColor="background1" w:themeShade="BF"/>
              <w:bottom w:val="single" w:sz="4" w:space="0" w:color="BFBFBF" w:themeColor="background1" w:themeShade="BF"/>
            </w:tcBorders>
            <w:shd w:val="clear" w:color="auto" w:fill="auto"/>
            <w:noWrap/>
            <w:vAlign w:val="center"/>
            <w:hideMark/>
          </w:tcPr>
          <w:p w14:paraId="4A2FD781" w14:textId="77777777" w:rsidR="009A14F9" w:rsidRPr="00A02495" w:rsidRDefault="009A14F9" w:rsidP="00A02495">
            <w:pPr>
              <w:jc w:val="center"/>
              <w:rPr>
                <w:sz w:val="18"/>
                <w:szCs w:val="18"/>
                <w:lang w:eastAsia="hr-HR"/>
              </w:rPr>
            </w:pPr>
            <w:r w:rsidRPr="00A02495">
              <w:rPr>
                <w:sz w:val="18"/>
                <w:szCs w:val="18"/>
                <w:lang w:eastAsia="hr-HR"/>
              </w:rPr>
              <w:t>230</w:t>
            </w:r>
          </w:p>
        </w:tc>
      </w:tr>
      <w:tr w:rsidR="009A14F9" w:rsidRPr="00A02495" w14:paraId="4E973E62" w14:textId="77777777" w:rsidTr="005347D5">
        <w:trPr>
          <w:trHeight w:val="397"/>
        </w:trPr>
        <w:tc>
          <w:tcPr>
            <w:tcW w:w="7665" w:type="dxa"/>
            <w:tcBorders>
              <w:top w:val="single" w:sz="4" w:space="0" w:color="BFBFBF" w:themeColor="background1" w:themeShade="BF"/>
              <w:bottom w:val="single" w:sz="4" w:space="0" w:color="BFBFBF" w:themeColor="background1" w:themeShade="BF"/>
            </w:tcBorders>
            <w:shd w:val="clear" w:color="auto" w:fill="auto"/>
            <w:vAlign w:val="center"/>
            <w:hideMark/>
          </w:tcPr>
          <w:p w14:paraId="38DD1A35" w14:textId="77777777" w:rsidR="009A14F9" w:rsidRPr="00A02495" w:rsidRDefault="009A14F9" w:rsidP="00A02495">
            <w:pPr>
              <w:rPr>
                <w:sz w:val="18"/>
                <w:szCs w:val="18"/>
                <w:lang w:eastAsia="hr-HR"/>
              </w:rPr>
            </w:pPr>
            <w:r w:rsidRPr="00A02495">
              <w:rPr>
                <w:sz w:val="18"/>
                <w:szCs w:val="18"/>
                <w:lang w:eastAsia="hr-HR"/>
              </w:rPr>
              <w:t xml:space="preserve">Izgradnja vodovodne mreže naselja Burle u dužini od cca 1150 m </w:t>
            </w:r>
          </w:p>
        </w:tc>
        <w:tc>
          <w:tcPr>
            <w:tcW w:w="1417" w:type="dxa"/>
            <w:tcBorders>
              <w:top w:val="single" w:sz="4" w:space="0" w:color="BFBFBF" w:themeColor="background1" w:themeShade="BF"/>
              <w:bottom w:val="single" w:sz="4" w:space="0" w:color="BFBFBF" w:themeColor="background1" w:themeShade="BF"/>
            </w:tcBorders>
            <w:shd w:val="clear" w:color="auto" w:fill="auto"/>
            <w:noWrap/>
            <w:vAlign w:val="center"/>
            <w:hideMark/>
          </w:tcPr>
          <w:p w14:paraId="154336BA" w14:textId="77777777" w:rsidR="009A14F9" w:rsidRPr="00A02495" w:rsidRDefault="009A14F9" w:rsidP="00A02495">
            <w:pPr>
              <w:jc w:val="center"/>
              <w:rPr>
                <w:sz w:val="18"/>
                <w:szCs w:val="18"/>
                <w:lang w:eastAsia="hr-HR"/>
              </w:rPr>
            </w:pPr>
            <w:r w:rsidRPr="00A02495">
              <w:rPr>
                <w:sz w:val="18"/>
                <w:szCs w:val="18"/>
                <w:lang w:eastAsia="hr-HR"/>
              </w:rPr>
              <w:t>220</w:t>
            </w:r>
          </w:p>
        </w:tc>
      </w:tr>
      <w:tr w:rsidR="009A14F9" w:rsidRPr="00A02495" w14:paraId="456654ED" w14:textId="77777777" w:rsidTr="005347D5">
        <w:trPr>
          <w:trHeight w:val="397"/>
        </w:trPr>
        <w:tc>
          <w:tcPr>
            <w:tcW w:w="7665" w:type="dxa"/>
            <w:tcBorders>
              <w:top w:val="single" w:sz="4" w:space="0" w:color="BFBFBF" w:themeColor="background1" w:themeShade="BF"/>
              <w:bottom w:val="single" w:sz="4" w:space="0" w:color="BFBFBF" w:themeColor="background1" w:themeShade="BF"/>
            </w:tcBorders>
            <w:shd w:val="clear" w:color="auto" w:fill="auto"/>
            <w:vAlign w:val="center"/>
            <w:hideMark/>
          </w:tcPr>
          <w:p w14:paraId="1B411404" w14:textId="77777777" w:rsidR="009A14F9" w:rsidRPr="00A02495" w:rsidRDefault="009A14F9" w:rsidP="00A02495">
            <w:pPr>
              <w:rPr>
                <w:sz w:val="18"/>
                <w:szCs w:val="18"/>
                <w:lang w:eastAsia="hr-HR"/>
              </w:rPr>
            </w:pPr>
            <w:r w:rsidRPr="00A02495">
              <w:rPr>
                <w:sz w:val="18"/>
                <w:szCs w:val="18"/>
                <w:lang w:eastAsia="hr-HR"/>
              </w:rPr>
              <w:t>Izgradnja vodovodne mreže  Krnica  kč. br. 2716/1 k.o. Krnica cca 560 m</w:t>
            </w:r>
          </w:p>
        </w:tc>
        <w:tc>
          <w:tcPr>
            <w:tcW w:w="1417" w:type="dxa"/>
            <w:tcBorders>
              <w:top w:val="single" w:sz="4" w:space="0" w:color="BFBFBF" w:themeColor="background1" w:themeShade="BF"/>
              <w:bottom w:val="single" w:sz="4" w:space="0" w:color="BFBFBF" w:themeColor="background1" w:themeShade="BF"/>
            </w:tcBorders>
            <w:shd w:val="clear" w:color="auto" w:fill="auto"/>
            <w:noWrap/>
            <w:vAlign w:val="center"/>
            <w:hideMark/>
          </w:tcPr>
          <w:p w14:paraId="2AA98BD6" w14:textId="77777777" w:rsidR="009A14F9" w:rsidRPr="00A02495" w:rsidRDefault="009A14F9" w:rsidP="00A02495">
            <w:pPr>
              <w:jc w:val="center"/>
              <w:rPr>
                <w:sz w:val="18"/>
                <w:szCs w:val="18"/>
                <w:lang w:eastAsia="hr-HR"/>
              </w:rPr>
            </w:pPr>
            <w:r w:rsidRPr="00A02495">
              <w:rPr>
                <w:sz w:val="18"/>
                <w:szCs w:val="18"/>
                <w:lang w:eastAsia="hr-HR"/>
              </w:rPr>
              <w:t>178</w:t>
            </w:r>
          </w:p>
        </w:tc>
      </w:tr>
      <w:tr w:rsidR="009A14F9" w:rsidRPr="00A02495" w14:paraId="501A2DEA" w14:textId="77777777" w:rsidTr="005347D5">
        <w:trPr>
          <w:trHeight w:val="397"/>
        </w:trPr>
        <w:tc>
          <w:tcPr>
            <w:tcW w:w="7665" w:type="dxa"/>
            <w:tcBorders>
              <w:top w:val="single" w:sz="4" w:space="0" w:color="BFBFBF" w:themeColor="background1" w:themeShade="BF"/>
              <w:bottom w:val="single" w:sz="4" w:space="0" w:color="BFBFBF" w:themeColor="background1" w:themeShade="BF"/>
            </w:tcBorders>
            <w:shd w:val="clear" w:color="auto" w:fill="auto"/>
            <w:vAlign w:val="center"/>
            <w:hideMark/>
          </w:tcPr>
          <w:p w14:paraId="01D4ED2E" w14:textId="77777777" w:rsidR="009A14F9" w:rsidRPr="00A02495" w:rsidRDefault="009A14F9" w:rsidP="00A02495">
            <w:pPr>
              <w:rPr>
                <w:sz w:val="18"/>
                <w:szCs w:val="18"/>
                <w:lang w:eastAsia="hr-HR"/>
              </w:rPr>
            </w:pPr>
            <w:r w:rsidRPr="00A02495">
              <w:rPr>
                <w:sz w:val="18"/>
                <w:szCs w:val="18"/>
                <w:lang w:eastAsia="hr-HR"/>
              </w:rPr>
              <w:t>Mutilska ulica  - nastavak zamjena postojeće vodovodne mreže</w:t>
            </w:r>
          </w:p>
        </w:tc>
        <w:tc>
          <w:tcPr>
            <w:tcW w:w="1417" w:type="dxa"/>
            <w:tcBorders>
              <w:top w:val="single" w:sz="4" w:space="0" w:color="BFBFBF" w:themeColor="background1" w:themeShade="BF"/>
              <w:bottom w:val="single" w:sz="4" w:space="0" w:color="BFBFBF" w:themeColor="background1" w:themeShade="BF"/>
            </w:tcBorders>
            <w:shd w:val="clear" w:color="auto" w:fill="auto"/>
            <w:noWrap/>
            <w:vAlign w:val="center"/>
            <w:hideMark/>
          </w:tcPr>
          <w:p w14:paraId="609BB275" w14:textId="77777777" w:rsidR="009A14F9" w:rsidRPr="00A02495" w:rsidRDefault="009A14F9" w:rsidP="00A02495">
            <w:pPr>
              <w:jc w:val="center"/>
              <w:rPr>
                <w:sz w:val="18"/>
                <w:szCs w:val="18"/>
                <w:lang w:eastAsia="hr-HR"/>
              </w:rPr>
            </w:pPr>
            <w:r w:rsidRPr="00A02495">
              <w:rPr>
                <w:sz w:val="18"/>
                <w:szCs w:val="18"/>
                <w:lang w:eastAsia="hr-HR"/>
              </w:rPr>
              <w:t>130</w:t>
            </w:r>
          </w:p>
        </w:tc>
      </w:tr>
      <w:tr w:rsidR="009A14F9" w:rsidRPr="00A02495" w14:paraId="10D99098" w14:textId="77777777" w:rsidTr="005347D5">
        <w:trPr>
          <w:trHeight w:val="397"/>
        </w:trPr>
        <w:tc>
          <w:tcPr>
            <w:tcW w:w="7665" w:type="dxa"/>
            <w:tcBorders>
              <w:top w:val="single" w:sz="4" w:space="0" w:color="BFBFBF" w:themeColor="background1" w:themeShade="BF"/>
              <w:bottom w:val="single" w:sz="4" w:space="0" w:color="BFBFBF" w:themeColor="background1" w:themeShade="BF"/>
            </w:tcBorders>
            <w:shd w:val="clear" w:color="auto" w:fill="auto"/>
            <w:vAlign w:val="center"/>
            <w:hideMark/>
          </w:tcPr>
          <w:p w14:paraId="17603AB5" w14:textId="77777777" w:rsidR="009A14F9" w:rsidRPr="00A02495" w:rsidRDefault="009A14F9" w:rsidP="00A02495">
            <w:pPr>
              <w:rPr>
                <w:sz w:val="18"/>
                <w:szCs w:val="18"/>
                <w:lang w:eastAsia="hr-HR"/>
              </w:rPr>
            </w:pPr>
            <w:r w:rsidRPr="00A02495">
              <w:rPr>
                <w:sz w:val="18"/>
                <w:szCs w:val="18"/>
                <w:lang w:eastAsia="hr-HR"/>
              </w:rPr>
              <w:t xml:space="preserve">Aglomeracija Pula Jug (Medulin, Premantura, Banjole) – rješavanje imovinsko pravnih odnosa </w:t>
            </w:r>
          </w:p>
        </w:tc>
        <w:tc>
          <w:tcPr>
            <w:tcW w:w="1417" w:type="dxa"/>
            <w:tcBorders>
              <w:top w:val="single" w:sz="4" w:space="0" w:color="BFBFBF" w:themeColor="background1" w:themeShade="BF"/>
              <w:bottom w:val="single" w:sz="4" w:space="0" w:color="BFBFBF" w:themeColor="background1" w:themeShade="BF"/>
            </w:tcBorders>
            <w:shd w:val="clear" w:color="auto" w:fill="auto"/>
            <w:noWrap/>
            <w:vAlign w:val="center"/>
            <w:hideMark/>
          </w:tcPr>
          <w:p w14:paraId="61B8FD48" w14:textId="77777777" w:rsidR="009A14F9" w:rsidRPr="00A02495" w:rsidRDefault="009A14F9" w:rsidP="00A02495">
            <w:pPr>
              <w:jc w:val="center"/>
              <w:rPr>
                <w:sz w:val="18"/>
                <w:szCs w:val="18"/>
                <w:lang w:eastAsia="hr-HR"/>
              </w:rPr>
            </w:pPr>
            <w:r w:rsidRPr="00A02495">
              <w:rPr>
                <w:sz w:val="18"/>
                <w:szCs w:val="18"/>
                <w:lang w:eastAsia="hr-HR"/>
              </w:rPr>
              <w:t>98</w:t>
            </w:r>
          </w:p>
        </w:tc>
      </w:tr>
      <w:tr w:rsidR="009A14F9" w:rsidRPr="00A02495" w14:paraId="69103E50" w14:textId="77777777" w:rsidTr="005347D5">
        <w:trPr>
          <w:trHeight w:val="397"/>
        </w:trPr>
        <w:tc>
          <w:tcPr>
            <w:tcW w:w="7665" w:type="dxa"/>
            <w:tcBorders>
              <w:top w:val="single" w:sz="4" w:space="0" w:color="BFBFBF" w:themeColor="background1" w:themeShade="BF"/>
              <w:bottom w:val="single" w:sz="4" w:space="0" w:color="BFBFBF" w:themeColor="background1" w:themeShade="BF"/>
            </w:tcBorders>
            <w:shd w:val="clear" w:color="auto" w:fill="auto"/>
            <w:vAlign w:val="center"/>
            <w:hideMark/>
          </w:tcPr>
          <w:p w14:paraId="058CDE1B" w14:textId="77777777" w:rsidR="009A14F9" w:rsidRPr="00A02495" w:rsidRDefault="009A14F9" w:rsidP="00A02495">
            <w:pPr>
              <w:rPr>
                <w:sz w:val="18"/>
                <w:szCs w:val="18"/>
                <w:lang w:eastAsia="hr-HR"/>
              </w:rPr>
            </w:pPr>
            <w:r w:rsidRPr="00A02495">
              <w:rPr>
                <w:sz w:val="18"/>
                <w:szCs w:val="18"/>
                <w:lang w:eastAsia="hr-HR"/>
              </w:rPr>
              <w:t xml:space="preserve">Izvođenje radova i nadzor na cjevovodu ŠŠ-V-28 iz projekta Busoler-Šikići-Škatari (Aglomeracija Pula centar) </w:t>
            </w:r>
          </w:p>
        </w:tc>
        <w:tc>
          <w:tcPr>
            <w:tcW w:w="1417" w:type="dxa"/>
            <w:tcBorders>
              <w:top w:val="single" w:sz="4" w:space="0" w:color="BFBFBF" w:themeColor="background1" w:themeShade="BF"/>
              <w:bottom w:val="single" w:sz="4" w:space="0" w:color="BFBFBF" w:themeColor="background1" w:themeShade="BF"/>
            </w:tcBorders>
            <w:shd w:val="clear" w:color="auto" w:fill="auto"/>
            <w:noWrap/>
            <w:vAlign w:val="center"/>
            <w:hideMark/>
          </w:tcPr>
          <w:p w14:paraId="08315ED8" w14:textId="77777777" w:rsidR="009A14F9" w:rsidRPr="00A02495" w:rsidRDefault="009A14F9" w:rsidP="00A02495">
            <w:pPr>
              <w:jc w:val="center"/>
              <w:rPr>
                <w:sz w:val="18"/>
                <w:szCs w:val="18"/>
                <w:lang w:eastAsia="hr-HR"/>
              </w:rPr>
            </w:pPr>
            <w:r w:rsidRPr="00A02495">
              <w:rPr>
                <w:sz w:val="18"/>
                <w:szCs w:val="18"/>
                <w:lang w:eastAsia="hr-HR"/>
              </w:rPr>
              <w:t>81</w:t>
            </w:r>
          </w:p>
        </w:tc>
      </w:tr>
      <w:tr w:rsidR="009A14F9" w:rsidRPr="00A02495" w14:paraId="1C000490" w14:textId="77777777" w:rsidTr="005347D5">
        <w:trPr>
          <w:trHeight w:val="397"/>
        </w:trPr>
        <w:tc>
          <w:tcPr>
            <w:tcW w:w="7665" w:type="dxa"/>
            <w:tcBorders>
              <w:top w:val="single" w:sz="4" w:space="0" w:color="BFBFBF" w:themeColor="background1" w:themeShade="BF"/>
              <w:bottom w:val="single" w:sz="4" w:space="0" w:color="BFBFBF" w:themeColor="background1" w:themeShade="BF"/>
            </w:tcBorders>
            <w:shd w:val="clear" w:color="auto" w:fill="auto"/>
            <w:vAlign w:val="center"/>
            <w:hideMark/>
          </w:tcPr>
          <w:p w14:paraId="2F336598" w14:textId="77777777" w:rsidR="009A14F9" w:rsidRPr="00A02495" w:rsidRDefault="009A14F9" w:rsidP="00A02495">
            <w:pPr>
              <w:rPr>
                <w:sz w:val="18"/>
                <w:szCs w:val="18"/>
                <w:lang w:eastAsia="hr-HR"/>
              </w:rPr>
            </w:pPr>
            <w:r w:rsidRPr="00A02495">
              <w:rPr>
                <w:sz w:val="18"/>
                <w:szCs w:val="18"/>
                <w:lang w:eastAsia="hr-HR"/>
              </w:rPr>
              <w:t>Rekonstrukcija vodovodne mreže u Tršćanskoj ulici u Puli cca 1.450 m</w:t>
            </w:r>
          </w:p>
        </w:tc>
        <w:tc>
          <w:tcPr>
            <w:tcW w:w="1417" w:type="dxa"/>
            <w:tcBorders>
              <w:top w:val="single" w:sz="4" w:space="0" w:color="BFBFBF" w:themeColor="background1" w:themeShade="BF"/>
              <w:bottom w:val="single" w:sz="4" w:space="0" w:color="BFBFBF" w:themeColor="background1" w:themeShade="BF"/>
            </w:tcBorders>
            <w:shd w:val="clear" w:color="auto" w:fill="auto"/>
            <w:noWrap/>
            <w:vAlign w:val="center"/>
            <w:hideMark/>
          </w:tcPr>
          <w:p w14:paraId="61CD4C96" w14:textId="77777777" w:rsidR="009A14F9" w:rsidRPr="00A02495" w:rsidRDefault="009A14F9" w:rsidP="00A02495">
            <w:pPr>
              <w:jc w:val="center"/>
              <w:rPr>
                <w:sz w:val="18"/>
                <w:szCs w:val="18"/>
                <w:lang w:eastAsia="hr-HR"/>
              </w:rPr>
            </w:pPr>
            <w:r w:rsidRPr="00A02495">
              <w:rPr>
                <w:sz w:val="18"/>
                <w:szCs w:val="18"/>
                <w:lang w:eastAsia="hr-HR"/>
              </w:rPr>
              <w:t>79</w:t>
            </w:r>
          </w:p>
        </w:tc>
      </w:tr>
      <w:tr w:rsidR="009A14F9" w:rsidRPr="00A02495" w14:paraId="627AEC01" w14:textId="77777777" w:rsidTr="005347D5">
        <w:trPr>
          <w:trHeight w:val="397"/>
        </w:trPr>
        <w:tc>
          <w:tcPr>
            <w:tcW w:w="7665" w:type="dxa"/>
            <w:tcBorders>
              <w:top w:val="single" w:sz="4" w:space="0" w:color="BFBFBF" w:themeColor="background1" w:themeShade="BF"/>
              <w:bottom w:val="single" w:sz="4" w:space="0" w:color="BFBFBF" w:themeColor="background1" w:themeShade="BF"/>
            </w:tcBorders>
            <w:shd w:val="clear" w:color="auto" w:fill="auto"/>
            <w:vAlign w:val="center"/>
            <w:hideMark/>
          </w:tcPr>
          <w:p w14:paraId="47BBDBA2" w14:textId="77777777" w:rsidR="009A14F9" w:rsidRPr="00A02495" w:rsidRDefault="009A14F9" w:rsidP="00A02495">
            <w:pPr>
              <w:rPr>
                <w:rFonts w:eastAsia="Times New Roman"/>
                <w:sz w:val="18"/>
                <w:szCs w:val="18"/>
                <w:lang w:eastAsia="hr-HR"/>
              </w:rPr>
            </w:pPr>
            <w:r w:rsidRPr="00A02495">
              <w:rPr>
                <w:noProof/>
                <w:sz w:val="18"/>
                <w:szCs w:val="18"/>
                <w:lang w:eastAsia="hr-HR"/>
              </w:rPr>
              <w:drawing>
                <wp:anchor distT="0" distB="0" distL="114300" distR="114300" simplePos="0" relativeHeight="251658752" behindDoc="0" locked="0" layoutInCell="1" allowOverlap="1" wp14:anchorId="5CB7C92B" wp14:editId="11AD576E">
                  <wp:simplePos x="0" y="0"/>
                  <wp:positionH relativeFrom="column">
                    <wp:posOffset>0</wp:posOffset>
                  </wp:positionH>
                  <wp:positionV relativeFrom="paragraph">
                    <wp:posOffset>0</wp:posOffset>
                  </wp:positionV>
                  <wp:extent cx="114300" cy="114300"/>
                  <wp:effectExtent l="0" t="0" r="0" b="0"/>
                  <wp:wrapNone/>
                  <wp:docPr id="2" name="Slika 1" descr="*">
                    <a:extLst xmlns:a="http://schemas.openxmlformats.org/drawingml/2006/main">
                      <a:ext uri="{FF2B5EF4-FFF2-40B4-BE49-F238E27FC236}">
                        <a16:creationId xmlns:a16="http://schemas.microsoft.com/office/drawing/2014/main" id="{6772EC98-B565-AFD8-84E1-D2FFD137F1DD}"/>
                      </a:ext>
                    </a:extLst>
                  </wp:docPr>
                  <wp:cNvGraphicFramePr/>
                  <a:graphic xmlns:a="http://schemas.openxmlformats.org/drawingml/2006/main">
                    <a:graphicData uri="http://schemas.openxmlformats.org/drawingml/2006/picture">
                      <pic:pic xmlns:pic="http://schemas.openxmlformats.org/drawingml/2006/picture">
                        <pic:nvPicPr>
                          <pic:cNvPr id="2" name="Slika 1" descr="*">
                            <a:extLst>
                              <a:ext uri="{FF2B5EF4-FFF2-40B4-BE49-F238E27FC236}">
                                <a16:creationId xmlns:a16="http://schemas.microsoft.com/office/drawing/2014/main" id="{6772EC98-B565-AFD8-84E1-D2FFD137F1DD}"/>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A02495">
              <w:rPr>
                <w:sz w:val="18"/>
                <w:szCs w:val="18"/>
                <w:lang w:eastAsia="hr-HR"/>
              </w:rPr>
              <w:t xml:space="preserve">Rekonstrukcija vodovodne mreže u Valturskoj ulici u Puli </w:t>
            </w:r>
          </w:p>
        </w:tc>
        <w:tc>
          <w:tcPr>
            <w:tcW w:w="1417" w:type="dxa"/>
            <w:tcBorders>
              <w:top w:val="single" w:sz="4" w:space="0" w:color="BFBFBF" w:themeColor="background1" w:themeShade="BF"/>
              <w:bottom w:val="single" w:sz="4" w:space="0" w:color="BFBFBF" w:themeColor="background1" w:themeShade="BF"/>
            </w:tcBorders>
            <w:shd w:val="clear" w:color="auto" w:fill="auto"/>
            <w:noWrap/>
            <w:vAlign w:val="center"/>
            <w:hideMark/>
          </w:tcPr>
          <w:p w14:paraId="0CE5AF18" w14:textId="77777777" w:rsidR="009A14F9" w:rsidRPr="00A02495" w:rsidRDefault="009A14F9" w:rsidP="00A02495">
            <w:pPr>
              <w:jc w:val="center"/>
              <w:rPr>
                <w:sz w:val="18"/>
                <w:szCs w:val="18"/>
                <w:lang w:eastAsia="hr-HR"/>
              </w:rPr>
            </w:pPr>
            <w:r w:rsidRPr="00A02495">
              <w:rPr>
                <w:sz w:val="18"/>
                <w:szCs w:val="18"/>
                <w:lang w:eastAsia="hr-HR"/>
              </w:rPr>
              <w:t>74</w:t>
            </w:r>
          </w:p>
        </w:tc>
      </w:tr>
      <w:tr w:rsidR="009A14F9" w:rsidRPr="00A02495" w14:paraId="43223A40" w14:textId="77777777" w:rsidTr="005347D5">
        <w:trPr>
          <w:trHeight w:val="397"/>
        </w:trPr>
        <w:tc>
          <w:tcPr>
            <w:tcW w:w="7665" w:type="dxa"/>
            <w:tcBorders>
              <w:top w:val="single" w:sz="4" w:space="0" w:color="BFBFBF" w:themeColor="background1" w:themeShade="BF"/>
              <w:bottom w:val="single" w:sz="4" w:space="0" w:color="BFBFBF" w:themeColor="background1" w:themeShade="BF"/>
            </w:tcBorders>
            <w:shd w:val="clear" w:color="auto" w:fill="auto"/>
            <w:vAlign w:val="center"/>
            <w:hideMark/>
          </w:tcPr>
          <w:p w14:paraId="20BCDCB9" w14:textId="77777777" w:rsidR="009A14F9" w:rsidRPr="00A02495" w:rsidRDefault="009A14F9" w:rsidP="00A02495">
            <w:pPr>
              <w:rPr>
                <w:sz w:val="18"/>
                <w:szCs w:val="18"/>
                <w:lang w:eastAsia="hr-HR"/>
              </w:rPr>
            </w:pPr>
            <w:r w:rsidRPr="00A02495">
              <w:rPr>
                <w:sz w:val="18"/>
                <w:szCs w:val="18"/>
                <w:lang w:eastAsia="hr-HR"/>
              </w:rPr>
              <w:t xml:space="preserve">Rekonstrukcija Pazinske ulice u Puli </w:t>
            </w:r>
          </w:p>
        </w:tc>
        <w:tc>
          <w:tcPr>
            <w:tcW w:w="1417" w:type="dxa"/>
            <w:tcBorders>
              <w:top w:val="single" w:sz="4" w:space="0" w:color="BFBFBF" w:themeColor="background1" w:themeShade="BF"/>
              <w:bottom w:val="single" w:sz="4" w:space="0" w:color="BFBFBF" w:themeColor="background1" w:themeShade="BF"/>
            </w:tcBorders>
            <w:shd w:val="clear" w:color="auto" w:fill="auto"/>
            <w:noWrap/>
            <w:vAlign w:val="center"/>
            <w:hideMark/>
          </w:tcPr>
          <w:p w14:paraId="086C7070" w14:textId="77777777" w:rsidR="009A14F9" w:rsidRPr="00A02495" w:rsidRDefault="009A14F9" w:rsidP="00A02495">
            <w:pPr>
              <w:jc w:val="center"/>
              <w:rPr>
                <w:sz w:val="18"/>
                <w:szCs w:val="18"/>
                <w:lang w:eastAsia="hr-HR"/>
              </w:rPr>
            </w:pPr>
            <w:r w:rsidRPr="00A02495">
              <w:rPr>
                <w:sz w:val="18"/>
                <w:szCs w:val="18"/>
                <w:lang w:eastAsia="hr-HR"/>
              </w:rPr>
              <w:t>69</w:t>
            </w:r>
          </w:p>
        </w:tc>
      </w:tr>
      <w:tr w:rsidR="009A14F9" w:rsidRPr="00A02495" w14:paraId="2301CE8B" w14:textId="77777777" w:rsidTr="005347D5">
        <w:trPr>
          <w:trHeight w:val="397"/>
        </w:trPr>
        <w:tc>
          <w:tcPr>
            <w:tcW w:w="7665" w:type="dxa"/>
            <w:tcBorders>
              <w:top w:val="single" w:sz="4" w:space="0" w:color="BFBFBF" w:themeColor="background1" w:themeShade="BF"/>
              <w:bottom w:val="single" w:sz="4" w:space="0" w:color="BFBFBF" w:themeColor="background1" w:themeShade="BF"/>
            </w:tcBorders>
            <w:shd w:val="clear" w:color="auto" w:fill="auto"/>
            <w:vAlign w:val="center"/>
            <w:hideMark/>
          </w:tcPr>
          <w:p w14:paraId="1321809F" w14:textId="77777777" w:rsidR="009A14F9" w:rsidRPr="00A02495" w:rsidRDefault="009A14F9" w:rsidP="00A02495">
            <w:pPr>
              <w:rPr>
                <w:sz w:val="18"/>
                <w:szCs w:val="18"/>
                <w:lang w:eastAsia="hr-HR"/>
              </w:rPr>
            </w:pPr>
            <w:r w:rsidRPr="00A02495">
              <w:rPr>
                <w:sz w:val="18"/>
                <w:szCs w:val="18"/>
                <w:lang w:eastAsia="hr-HR"/>
              </w:rPr>
              <w:t>Izgradnja vodovodne mreže u Pomeru  (ugovor o financiranju – Plodine)</w:t>
            </w:r>
          </w:p>
        </w:tc>
        <w:tc>
          <w:tcPr>
            <w:tcW w:w="1417" w:type="dxa"/>
            <w:tcBorders>
              <w:top w:val="single" w:sz="4" w:space="0" w:color="BFBFBF" w:themeColor="background1" w:themeShade="BF"/>
              <w:bottom w:val="single" w:sz="4" w:space="0" w:color="BFBFBF" w:themeColor="background1" w:themeShade="BF"/>
            </w:tcBorders>
            <w:shd w:val="clear" w:color="auto" w:fill="auto"/>
            <w:noWrap/>
            <w:vAlign w:val="center"/>
            <w:hideMark/>
          </w:tcPr>
          <w:p w14:paraId="074FFF4D" w14:textId="77777777" w:rsidR="009A14F9" w:rsidRPr="00A02495" w:rsidRDefault="009A14F9" w:rsidP="00A02495">
            <w:pPr>
              <w:jc w:val="center"/>
              <w:rPr>
                <w:sz w:val="18"/>
                <w:szCs w:val="18"/>
                <w:lang w:eastAsia="hr-HR"/>
              </w:rPr>
            </w:pPr>
            <w:r w:rsidRPr="00A02495">
              <w:rPr>
                <w:sz w:val="18"/>
                <w:szCs w:val="18"/>
                <w:lang w:eastAsia="hr-HR"/>
              </w:rPr>
              <w:t>57</w:t>
            </w:r>
          </w:p>
        </w:tc>
      </w:tr>
      <w:tr w:rsidR="009A14F9" w:rsidRPr="00A02495" w14:paraId="4B1A9562" w14:textId="77777777" w:rsidTr="005347D5">
        <w:trPr>
          <w:trHeight w:val="397"/>
        </w:trPr>
        <w:tc>
          <w:tcPr>
            <w:tcW w:w="7665" w:type="dxa"/>
            <w:tcBorders>
              <w:top w:val="single" w:sz="4" w:space="0" w:color="BFBFBF" w:themeColor="background1" w:themeShade="BF"/>
              <w:bottom w:val="single" w:sz="4" w:space="0" w:color="BFBFBF" w:themeColor="background1" w:themeShade="BF"/>
            </w:tcBorders>
            <w:shd w:val="clear" w:color="auto" w:fill="auto"/>
            <w:vAlign w:val="center"/>
            <w:hideMark/>
          </w:tcPr>
          <w:p w14:paraId="175D6C5C" w14:textId="77777777" w:rsidR="009A14F9" w:rsidRPr="00A02495" w:rsidRDefault="009A14F9" w:rsidP="00A02495">
            <w:pPr>
              <w:rPr>
                <w:sz w:val="18"/>
                <w:szCs w:val="18"/>
                <w:lang w:eastAsia="hr-HR"/>
              </w:rPr>
            </w:pPr>
            <w:r w:rsidRPr="00A02495">
              <w:rPr>
                <w:sz w:val="18"/>
                <w:szCs w:val="18"/>
                <w:lang w:eastAsia="hr-HR"/>
              </w:rPr>
              <w:t xml:space="preserve">Izgradnja i nadzor na izgradnjom vodovodne mreže duž dijela Paganor 80 m (ugovor o financiranju – Modular Stanogradnja) </w:t>
            </w:r>
          </w:p>
        </w:tc>
        <w:tc>
          <w:tcPr>
            <w:tcW w:w="1417" w:type="dxa"/>
            <w:tcBorders>
              <w:top w:val="single" w:sz="4" w:space="0" w:color="BFBFBF" w:themeColor="background1" w:themeShade="BF"/>
              <w:bottom w:val="single" w:sz="4" w:space="0" w:color="BFBFBF" w:themeColor="background1" w:themeShade="BF"/>
            </w:tcBorders>
            <w:shd w:val="clear" w:color="auto" w:fill="auto"/>
            <w:noWrap/>
            <w:vAlign w:val="center"/>
            <w:hideMark/>
          </w:tcPr>
          <w:p w14:paraId="7612D24C" w14:textId="77777777" w:rsidR="009A14F9" w:rsidRPr="00A02495" w:rsidRDefault="009A14F9" w:rsidP="00A02495">
            <w:pPr>
              <w:jc w:val="center"/>
              <w:rPr>
                <w:sz w:val="18"/>
                <w:szCs w:val="18"/>
                <w:lang w:eastAsia="hr-HR"/>
              </w:rPr>
            </w:pPr>
            <w:r w:rsidRPr="00A02495">
              <w:rPr>
                <w:sz w:val="18"/>
                <w:szCs w:val="18"/>
                <w:lang w:eastAsia="hr-HR"/>
              </w:rPr>
              <w:t>53</w:t>
            </w:r>
          </w:p>
        </w:tc>
      </w:tr>
      <w:tr w:rsidR="009A14F9" w:rsidRPr="00A02495" w14:paraId="63056873" w14:textId="77777777" w:rsidTr="005347D5">
        <w:trPr>
          <w:trHeight w:val="397"/>
        </w:trPr>
        <w:tc>
          <w:tcPr>
            <w:tcW w:w="7665" w:type="dxa"/>
            <w:tcBorders>
              <w:top w:val="single" w:sz="4" w:space="0" w:color="BFBFBF" w:themeColor="background1" w:themeShade="BF"/>
              <w:bottom w:val="single" w:sz="4" w:space="0" w:color="BFBFBF" w:themeColor="background1" w:themeShade="BF"/>
            </w:tcBorders>
            <w:shd w:val="clear" w:color="auto" w:fill="auto"/>
            <w:vAlign w:val="center"/>
            <w:hideMark/>
          </w:tcPr>
          <w:p w14:paraId="55E1C078" w14:textId="77777777" w:rsidR="009A14F9" w:rsidRPr="00A02495" w:rsidRDefault="009A14F9" w:rsidP="00A02495">
            <w:pPr>
              <w:rPr>
                <w:sz w:val="18"/>
                <w:szCs w:val="18"/>
                <w:lang w:eastAsia="hr-HR"/>
              </w:rPr>
            </w:pPr>
            <w:r w:rsidRPr="00A02495">
              <w:rPr>
                <w:sz w:val="18"/>
                <w:szCs w:val="18"/>
                <w:lang w:eastAsia="hr-HR"/>
              </w:rPr>
              <w:t>Radovi izmještanja cjevovoda na kč. br. 780/7 k.o. Fažana</w:t>
            </w:r>
          </w:p>
        </w:tc>
        <w:tc>
          <w:tcPr>
            <w:tcW w:w="1417" w:type="dxa"/>
            <w:tcBorders>
              <w:top w:val="single" w:sz="4" w:space="0" w:color="BFBFBF" w:themeColor="background1" w:themeShade="BF"/>
              <w:bottom w:val="single" w:sz="4" w:space="0" w:color="BFBFBF" w:themeColor="background1" w:themeShade="BF"/>
            </w:tcBorders>
            <w:shd w:val="clear" w:color="auto" w:fill="auto"/>
            <w:noWrap/>
            <w:vAlign w:val="center"/>
            <w:hideMark/>
          </w:tcPr>
          <w:p w14:paraId="50A19CB3" w14:textId="77777777" w:rsidR="009A14F9" w:rsidRPr="00A02495" w:rsidRDefault="009A14F9" w:rsidP="00A02495">
            <w:pPr>
              <w:jc w:val="center"/>
              <w:rPr>
                <w:sz w:val="18"/>
                <w:szCs w:val="18"/>
                <w:lang w:eastAsia="hr-HR"/>
              </w:rPr>
            </w:pPr>
            <w:r w:rsidRPr="00A02495">
              <w:rPr>
                <w:sz w:val="18"/>
                <w:szCs w:val="18"/>
                <w:lang w:eastAsia="hr-HR"/>
              </w:rPr>
              <w:t>53</w:t>
            </w:r>
          </w:p>
        </w:tc>
      </w:tr>
      <w:tr w:rsidR="009A14F9" w:rsidRPr="00A02495" w14:paraId="47B0921D" w14:textId="77777777" w:rsidTr="005347D5">
        <w:trPr>
          <w:trHeight w:val="397"/>
        </w:trPr>
        <w:tc>
          <w:tcPr>
            <w:tcW w:w="7665" w:type="dxa"/>
            <w:tcBorders>
              <w:top w:val="single" w:sz="4" w:space="0" w:color="BFBFBF" w:themeColor="background1" w:themeShade="BF"/>
              <w:bottom w:val="single" w:sz="4" w:space="0" w:color="BFBFBF" w:themeColor="background1" w:themeShade="BF"/>
            </w:tcBorders>
            <w:shd w:val="clear" w:color="auto" w:fill="auto"/>
            <w:vAlign w:val="center"/>
            <w:hideMark/>
          </w:tcPr>
          <w:p w14:paraId="6184F36B" w14:textId="77777777" w:rsidR="009A14F9" w:rsidRPr="00A02495" w:rsidRDefault="009A14F9" w:rsidP="00A02495">
            <w:pPr>
              <w:rPr>
                <w:sz w:val="18"/>
                <w:szCs w:val="18"/>
                <w:lang w:eastAsia="hr-HR"/>
              </w:rPr>
            </w:pPr>
            <w:r w:rsidRPr="00A02495">
              <w:rPr>
                <w:sz w:val="18"/>
                <w:szCs w:val="18"/>
                <w:lang w:eastAsia="hr-HR"/>
              </w:rPr>
              <w:t xml:space="preserve">Izgradnja vodovodne mreže i nadzor na području naselja Monte Turko dionica VMŠ-V-13 i dionica ŠŠ-V-5 (Aglomeracija Pula centar) </w:t>
            </w:r>
          </w:p>
        </w:tc>
        <w:tc>
          <w:tcPr>
            <w:tcW w:w="1417" w:type="dxa"/>
            <w:tcBorders>
              <w:top w:val="single" w:sz="4" w:space="0" w:color="BFBFBF" w:themeColor="background1" w:themeShade="BF"/>
              <w:bottom w:val="single" w:sz="4" w:space="0" w:color="BFBFBF" w:themeColor="background1" w:themeShade="BF"/>
            </w:tcBorders>
            <w:shd w:val="clear" w:color="auto" w:fill="auto"/>
            <w:noWrap/>
            <w:vAlign w:val="center"/>
            <w:hideMark/>
          </w:tcPr>
          <w:p w14:paraId="447B4270" w14:textId="77777777" w:rsidR="009A14F9" w:rsidRPr="00A02495" w:rsidRDefault="009A14F9" w:rsidP="00A02495">
            <w:pPr>
              <w:jc w:val="center"/>
              <w:rPr>
                <w:sz w:val="18"/>
                <w:szCs w:val="18"/>
                <w:lang w:eastAsia="hr-HR"/>
              </w:rPr>
            </w:pPr>
            <w:r w:rsidRPr="00A02495">
              <w:rPr>
                <w:sz w:val="18"/>
                <w:szCs w:val="18"/>
                <w:lang w:eastAsia="hr-HR"/>
              </w:rPr>
              <w:t>49</w:t>
            </w:r>
          </w:p>
        </w:tc>
      </w:tr>
      <w:tr w:rsidR="009A14F9" w:rsidRPr="00A02495" w14:paraId="43BF360D" w14:textId="77777777" w:rsidTr="005347D5">
        <w:trPr>
          <w:trHeight w:val="397"/>
        </w:trPr>
        <w:tc>
          <w:tcPr>
            <w:tcW w:w="7665" w:type="dxa"/>
            <w:tcBorders>
              <w:top w:val="single" w:sz="4" w:space="0" w:color="BFBFBF" w:themeColor="background1" w:themeShade="BF"/>
              <w:bottom w:val="single" w:sz="4" w:space="0" w:color="BFBFBF" w:themeColor="background1" w:themeShade="BF"/>
            </w:tcBorders>
            <w:shd w:val="clear" w:color="auto" w:fill="auto"/>
            <w:vAlign w:val="center"/>
            <w:hideMark/>
          </w:tcPr>
          <w:p w14:paraId="5BE22AB1" w14:textId="77777777" w:rsidR="009A14F9" w:rsidRPr="00A02495" w:rsidRDefault="009A14F9" w:rsidP="00A02495">
            <w:pPr>
              <w:rPr>
                <w:sz w:val="18"/>
                <w:szCs w:val="18"/>
                <w:lang w:eastAsia="hr-HR"/>
              </w:rPr>
            </w:pPr>
            <w:r w:rsidRPr="00A02495">
              <w:rPr>
                <w:sz w:val="18"/>
                <w:szCs w:val="18"/>
                <w:lang w:eastAsia="hr-HR"/>
              </w:rPr>
              <w:t>Lokalna vodovodna mreža - priključni cjevovod u Valbandonu - ulica Pineta - duž k.č. 738/220 k.o. Fažana</w:t>
            </w:r>
          </w:p>
        </w:tc>
        <w:tc>
          <w:tcPr>
            <w:tcW w:w="1417" w:type="dxa"/>
            <w:tcBorders>
              <w:top w:val="single" w:sz="4" w:space="0" w:color="BFBFBF" w:themeColor="background1" w:themeShade="BF"/>
              <w:bottom w:val="single" w:sz="4" w:space="0" w:color="BFBFBF" w:themeColor="background1" w:themeShade="BF"/>
            </w:tcBorders>
            <w:shd w:val="clear" w:color="auto" w:fill="auto"/>
            <w:noWrap/>
            <w:vAlign w:val="center"/>
            <w:hideMark/>
          </w:tcPr>
          <w:p w14:paraId="0E8C9F12" w14:textId="77777777" w:rsidR="009A14F9" w:rsidRPr="00A02495" w:rsidRDefault="009A14F9" w:rsidP="00A02495">
            <w:pPr>
              <w:jc w:val="center"/>
              <w:rPr>
                <w:sz w:val="18"/>
                <w:szCs w:val="18"/>
                <w:lang w:eastAsia="hr-HR"/>
              </w:rPr>
            </w:pPr>
            <w:r w:rsidRPr="00A02495">
              <w:rPr>
                <w:sz w:val="18"/>
                <w:szCs w:val="18"/>
                <w:lang w:eastAsia="hr-HR"/>
              </w:rPr>
              <w:t>43</w:t>
            </w:r>
          </w:p>
        </w:tc>
      </w:tr>
      <w:tr w:rsidR="009A14F9" w:rsidRPr="00A02495" w14:paraId="3D1EABF6" w14:textId="77777777" w:rsidTr="005347D5">
        <w:trPr>
          <w:trHeight w:val="397"/>
        </w:trPr>
        <w:tc>
          <w:tcPr>
            <w:tcW w:w="7665" w:type="dxa"/>
            <w:tcBorders>
              <w:top w:val="single" w:sz="4" w:space="0" w:color="BFBFBF" w:themeColor="background1" w:themeShade="BF"/>
              <w:bottom w:val="single" w:sz="4" w:space="0" w:color="BFBFBF" w:themeColor="background1" w:themeShade="BF"/>
            </w:tcBorders>
            <w:shd w:val="clear" w:color="auto" w:fill="auto"/>
            <w:vAlign w:val="center"/>
            <w:hideMark/>
          </w:tcPr>
          <w:p w14:paraId="198979A0" w14:textId="77777777" w:rsidR="009A14F9" w:rsidRPr="00A02495" w:rsidRDefault="009A14F9" w:rsidP="00A02495">
            <w:pPr>
              <w:rPr>
                <w:sz w:val="18"/>
                <w:szCs w:val="18"/>
                <w:lang w:eastAsia="hr-HR"/>
              </w:rPr>
            </w:pPr>
            <w:r w:rsidRPr="00A02495">
              <w:rPr>
                <w:sz w:val="18"/>
                <w:szCs w:val="18"/>
                <w:lang w:eastAsia="hr-HR"/>
              </w:rPr>
              <w:t>Izgradnja vodovodne mreže u ulici Pineta 1 ogranak</w:t>
            </w:r>
          </w:p>
        </w:tc>
        <w:tc>
          <w:tcPr>
            <w:tcW w:w="1417" w:type="dxa"/>
            <w:tcBorders>
              <w:top w:val="single" w:sz="4" w:space="0" w:color="BFBFBF" w:themeColor="background1" w:themeShade="BF"/>
              <w:bottom w:val="single" w:sz="4" w:space="0" w:color="BFBFBF" w:themeColor="background1" w:themeShade="BF"/>
            </w:tcBorders>
            <w:shd w:val="clear" w:color="auto" w:fill="auto"/>
            <w:noWrap/>
            <w:vAlign w:val="center"/>
            <w:hideMark/>
          </w:tcPr>
          <w:p w14:paraId="4A0BADFD" w14:textId="77777777" w:rsidR="009A14F9" w:rsidRPr="00A02495" w:rsidRDefault="009A14F9" w:rsidP="001522B0">
            <w:pPr>
              <w:jc w:val="center"/>
              <w:rPr>
                <w:sz w:val="18"/>
                <w:szCs w:val="18"/>
                <w:lang w:eastAsia="hr-HR"/>
              </w:rPr>
            </w:pPr>
            <w:r w:rsidRPr="00A02495">
              <w:rPr>
                <w:sz w:val="18"/>
                <w:szCs w:val="18"/>
                <w:lang w:eastAsia="hr-HR"/>
              </w:rPr>
              <w:t>42</w:t>
            </w:r>
          </w:p>
        </w:tc>
      </w:tr>
    </w:tbl>
    <w:p w14:paraId="533CE933" w14:textId="77777777" w:rsidR="00973FDC" w:rsidRDefault="00973FDC" w:rsidP="00A02495"/>
    <w:p w14:paraId="37E6E324" w14:textId="77777777" w:rsidR="002032B4" w:rsidRDefault="002032B4" w:rsidP="00A02495"/>
    <w:p w14:paraId="5AB34343" w14:textId="77777777" w:rsidR="002032B4" w:rsidRDefault="002032B4" w:rsidP="00A02495"/>
    <w:p w14:paraId="641449A6" w14:textId="77777777" w:rsidR="002032B4" w:rsidRDefault="002032B4" w:rsidP="00A02495"/>
    <w:p w14:paraId="1945FCCF" w14:textId="77777777" w:rsidR="002032B4" w:rsidRDefault="002032B4" w:rsidP="00A02495"/>
    <w:p w14:paraId="0228C68E" w14:textId="77777777" w:rsidR="002032B4" w:rsidRDefault="002032B4" w:rsidP="00A02495"/>
    <w:p w14:paraId="04C73FED" w14:textId="77777777" w:rsidR="002032B4" w:rsidRDefault="002032B4" w:rsidP="00A02495"/>
    <w:p w14:paraId="6F6E3523" w14:textId="7155D487" w:rsidR="002032B4" w:rsidRPr="00855013" w:rsidRDefault="00530CC9" w:rsidP="00A02495">
      <w:r w:rsidRPr="00855013">
        <w:lastRenderedPageBreak/>
        <w:t>U</w:t>
      </w:r>
      <w:r w:rsidR="00413B71" w:rsidRPr="00855013">
        <w:t xml:space="preserve">laganje u </w:t>
      </w:r>
      <w:r w:rsidRPr="00855013">
        <w:t xml:space="preserve">izgradnju i rekonstrukciju vodovodne mreže po </w:t>
      </w:r>
      <w:r w:rsidR="00413B71" w:rsidRPr="00855013">
        <w:t>jedinicama lokalne samouprave</w:t>
      </w:r>
      <w:r w:rsidR="00E0717E" w:rsidRPr="00855013">
        <w:t xml:space="preserve"> iznosi kako slijedi</w:t>
      </w:r>
      <w:r w:rsidR="00855013">
        <w:rPr>
          <w:rStyle w:val="Referencafusnote"/>
        </w:rPr>
        <w:footnoteReference w:id="2"/>
      </w:r>
      <w:r w:rsidRPr="00855013">
        <w:t>:</w:t>
      </w:r>
    </w:p>
    <w:p w14:paraId="6151FA6E" w14:textId="77777777" w:rsidR="00141FEA" w:rsidRPr="009013E3" w:rsidRDefault="00141FEA" w:rsidP="00A02495">
      <w:pPr>
        <w:rPr>
          <w:highlight w:val="cyan"/>
        </w:rPr>
      </w:pPr>
    </w:p>
    <w:tbl>
      <w:tblPr>
        <w:tblW w:w="8599" w:type="dxa"/>
        <w:tblInd w:w="93" w:type="dxa"/>
        <w:tblBorders>
          <w:top w:val="single" w:sz="4" w:space="0" w:color="BFBFBF" w:themeColor="background1" w:themeShade="BF"/>
          <w:bottom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4343"/>
        <w:gridCol w:w="256"/>
        <w:gridCol w:w="2000"/>
        <w:gridCol w:w="2000"/>
      </w:tblGrid>
      <w:tr w:rsidR="007E7ABF" w:rsidRPr="00855013" w14:paraId="2186F4EE" w14:textId="003E6BA9" w:rsidTr="007E7ABF">
        <w:trPr>
          <w:trHeight w:val="315"/>
        </w:trPr>
        <w:tc>
          <w:tcPr>
            <w:tcW w:w="4599" w:type="dxa"/>
            <w:gridSpan w:val="2"/>
            <w:tcBorders>
              <w:top w:val="single" w:sz="8" w:space="0" w:color="404040" w:themeColor="text1" w:themeTint="BF"/>
              <w:bottom w:val="single" w:sz="8" w:space="0" w:color="404040" w:themeColor="text1" w:themeTint="BF"/>
            </w:tcBorders>
            <w:shd w:val="clear" w:color="auto" w:fill="BFBFBF" w:themeFill="background1" w:themeFillShade="BF"/>
            <w:noWrap/>
            <w:vAlign w:val="center"/>
            <w:hideMark/>
          </w:tcPr>
          <w:p w14:paraId="210130A5" w14:textId="77777777" w:rsidR="007E7ABF" w:rsidRPr="00855013" w:rsidRDefault="007E7ABF" w:rsidP="00855013">
            <w:pPr>
              <w:jc w:val="left"/>
              <w:rPr>
                <w:b/>
                <w:bCs/>
                <w:sz w:val="18"/>
                <w:szCs w:val="18"/>
                <w:lang w:eastAsia="hr-HR"/>
              </w:rPr>
            </w:pPr>
            <w:r w:rsidRPr="00855013">
              <w:rPr>
                <w:b/>
                <w:bCs/>
                <w:sz w:val="18"/>
                <w:szCs w:val="18"/>
                <w:lang w:eastAsia="hr-HR"/>
              </w:rPr>
              <w:t>Gradovi/općine</w:t>
            </w:r>
          </w:p>
        </w:tc>
        <w:tc>
          <w:tcPr>
            <w:tcW w:w="2000" w:type="dxa"/>
            <w:tcBorders>
              <w:top w:val="single" w:sz="8" w:space="0" w:color="404040" w:themeColor="text1" w:themeTint="BF"/>
              <w:bottom w:val="single" w:sz="8" w:space="0" w:color="404040" w:themeColor="text1" w:themeTint="BF"/>
            </w:tcBorders>
            <w:shd w:val="clear" w:color="auto" w:fill="BFBFBF" w:themeFill="background1" w:themeFillShade="BF"/>
            <w:noWrap/>
            <w:vAlign w:val="center"/>
            <w:hideMark/>
          </w:tcPr>
          <w:p w14:paraId="0E6CBC98" w14:textId="77777777" w:rsidR="007E7ABF" w:rsidRDefault="007E7ABF" w:rsidP="00855013">
            <w:pPr>
              <w:jc w:val="center"/>
              <w:rPr>
                <w:b/>
                <w:bCs/>
                <w:sz w:val="18"/>
                <w:szCs w:val="18"/>
                <w:lang w:eastAsia="hr-HR"/>
              </w:rPr>
            </w:pPr>
            <w:r w:rsidRPr="00855013">
              <w:rPr>
                <w:b/>
                <w:bCs/>
                <w:sz w:val="18"/>
                <w:szCs w:val="18"/>
                <w:lang w:eastAsia="hr-HR"/>
              </w:rPr>
              <w:t xml:space="preserve">Iznos </w:t>
            </w:r>
          </w:p>
          <w:p w14:paraId="45B3E5E2" w14:textId="1A3B41DD" w:rsidR="007E7ABF" w:rsidRPr="00855013" w:rsidRDefault="007E7ABF" w:rsidP="00855013">
            <w:pPr>
              <w:jc w:val="center"/>
              <w:rPr>
                <w:b/>
                <w:bCs/>
                <w:sz w:val="18"/>
                <w:szCs w:val="18"/>
                <w:lang w:eastAsia="hr-HR"/>
              </w:rPr>
            </w:pPr>
            <w:r>
              <w:rPr>
                <w:b/>
                <w:bCs/>
                <w:sz w:val="18"/>
                <w:szCs w:val="18"/>
                <w:lang w:eastAsia="hr-HR"/>
              </w:rPr>
              <w:t>(</w:t>
            </w:r>
            <w:r w:rsidRPr="00855013">
              <w:rPr>
                <w:b/>
                <w:bCs/>
                <w:sz w:val="18"/>
                <w:szCs w:val="18"/>
                <w:lang w:eastAsia="hr-HR"/>
              </w:rPr>
              <w:t>u eurima</w:t>
            </w:r>
            <w:r>
              <w:rPr>
                <w:b/>
                <w:bCs/>
                <w:sz w:val="18"/>
                <w:szCs w:val="18"/>
                <w:lang w:eastAsia="hr-HR"/>
              </w:rPr>
              <w:t>)</w:t>
            </w:r>
          </w:p>
        </w:tc>
        <w:tc>
          <w:tcPr>
            <w:tcW w:w="2000" w:type="dxa"/>
            <w:tcBorders>
              <w:top w:val="single" w:sz="8" w:space="0" w:color="404040" w:themeColor="text1" w:themeTint="BF"/>
              <w:bottom w:val="single" w:sz="8" w:space="0" w:color="404040" w:themeColor="text1" w:themeTint="BF"/>
            </w:tcBorders>
            <w:shd w:val="clear" w:color="auto" w:fill="BFBFBF" w:themeFill="background1" w:themeFillShade="BF"/>
          </w:tcPr>
          <w:p w14:paraId="0DD4743B" w14:textId="77777777" w:rsidR="007E7ABF" w:rsidRDefault="007E7ABF" w:rsidP="00855013">
            <w:pPr>
              <w:jc w:val="center"/>
              <w:rPr>
                <w:b/>
                <w:bCs/>
                <w:sz w:val="18"/>
                <w:szCs w:val="18"/>
                <w:lang w:eastAsia="hr-HR"/>
              </w:rPr>
            </w:pPr>
            <w:r>
              <w:rPr>
                <w:b/>
                <w:bCs/>
                <w:sz w:val="18"/>
                <w:szCs w:val="18"/>
                <w:lang w:eastAsia="hr-HR"/>
              </w:rPr>
              <w:t xml:space="preserve">Udio </w:t>
            </w:r>
          </w:p>
          <w:p w14:paraId="75B4E8B7" w14:textId="761E9203" w:rsidR="007E7ABF" w:rsidRPr="00855013" w:rsidRDefault="007E7ABF" w:rsidP="00855013">
            <w:pPr>
              <w:jc w:val="center"/>
              <w:rPr>
                <w:b/>
                <w:bCs/>
                <w:sz w:val="18"/>
                <w:szCs w:val="18"/>
                <w:lang w:eastAsia="hr-HR"/>
              </w:rPr>
            </w:pPr>
            <w:r>
              <w:rPr>
                <w:b/>
                <w:bCs/>
                <w:sz w:val="18"/>
                <w:szCs w:val="18"/>
                <w:lang w:eastAsia="hr-HR"/>
              </w:rPr>
              <w:t>(%)</w:t>
            </w:r>
          </w:p>
        </w:tc>
      </w:tr>
      <w:tr w:rsidR="007E7ABF" w:rsidRPr="00855013" w14:paraId="1A580D7E" w14:textId="3850A8C5" w:rsidTr="007E7ABF">
        <w:trPr>
          <w:trHeight w:val="340"/>
        </w:trPr>
        <w:tc>
          <w:tcPr>
            <w:tcW w:w="4343" w:type="dxa"/>
            <w:tcBorders>
              <w:top w:val="single" w:sz="8" w:space="0" w:color="404040" w:themeColor="text1" w:themeTint="BF"/>
            </w:tcBorders>
            <w:shd w:val="clear" w:color="auto" w:fill="auto"/>
            <w:noWrap/>
            <w:vAlign w:val="center"/>
            <w:hideMark/>
          </w:tcPr>
          <w:p w14:paraId="516F2288" w14:textId="77777777" w:rsidR="007E7ABF" w:rsidRPr="00855013" w:rsidRDefault="007E7ABF" w:rsidP="00855013">
            <w:pPr>
              <w:jc w:val="left"/>
              <w:rPr>
                <w:sz w:val="18"/>
                <w:szCs w:val="18"/>
                <w:lang w:eastAsia="hr-HR"/>
              </w:rPr>
            </w:pPr>
            <w:r w:rsidRPr="00855013">
              <w:rPr>
                <w:sz w:val="18"/>
                <w:szCs w:val="18"/>
                <w:lang w:eastAsia="hr-HR"/>
              </w:rPr>
              <w:t>Grad Pula</w:t>
            </w:r>
          </w:p>
        </w:tc>
        <w:tc>
          <w:tcPr>
            <w:tcW w:w="256" w:type="dxa"/>
            <w:tcBorders>
              <w:top w:val="single" w:sz="8" w:space="0" w:color="404040" w:themeColor="text1" w:themeTint="BF"/>
            </w:tcBorders>
            <w:shd w:val="clear" w:color="auto" w:fill="auto"/>
            <w:noWrap/>
            <w:vAlign w:val="bottom"/>
            <w:hideMark/>
          </w:tcPr>
          <w:p w14:paraId="2F8C8D9B" w14:textId="77777777" w:rsidR="007E7ABF" w:rsidRPr="00855013" w:rsidRDefault="007E7ABF" w:rsidP="00A02495">
            <w:pPr>
              <w:rPr>
                <w:sz w:val="18"/>
                <w:szCs w:val="18"/>
                <w:lang w:eastAsia="hr-HR"/>
              </w:rPr>
            </w:pPr>
          </w:p>
        </w:tc>
        <w:tc>
          <w:tcPr>
            <w:tcW w:w="2000" w:type="dxa"/>
            <w:tcBorders>
              <w:top w:val="single" w:sz="8" w:space="0" w:color="404040" w:themeColor="text1" w:themeTint="BF"/>
            </w:tcBorders>
            <w:shd w:val="clear" w:color="auto" w:fill="auto"/>
            <w:noWrap/>
            <w:vAlign w:val="center"/>
          </w:tcPr>
          <w:p w14:paraId="3E2130C0" w14:textId="05E1A264" w:rsidR="007E7ABF" w:rsidRPr="00855013" w:rsidRDefault="007E7ABF" w:rsidP="00855013">
            <w:pPr>
              <w:jc w:val="right"/>
              <w:rPr>
                <w:sz w:val="18"/>
                <w:szCs w:val="18"/>
                <w:lang w:eastAsia="hr-HR"/>
              </w:rPr>
            </w:pPr>
            <w:r w:rsidRPr="00855013">
              <w:rPr>
                <w:sz w:val="18"/>
                <w:szCs w:val="18"/>
                <w:lang w:eastAsia="hr-HR"/>
              </w:rPr>
              <w:t>2.524.430</w:t>
            </w:r>
          </w:p>
        </w:tc>
        <w:tc>
          <w:tcPr>
            <w:tcW w:w="2000" w:type="dxa"/>
            <w:tcBorders>
              <w:top w:val="single" w:sz="8" w:space="0" w:color="404040" w:themeColor="text1" w:themeTint="BF"/>
            </w:tcBorders>
            <w:vAlign w:val="center"/>
          </w:tcPr>
          <w:p w14:paraId="09677233" w14:textId="25B39FC5" w:rsidR="007E7ABF" w:rsidRPr="00855013" w:rsidRDefault="007E7ABF" w:rsidP="007E7ABF">
            <w:pPr>
              <w:jc w:val="center"/>
              <w:rPr>
                <w:sz w:val="18"/>
                <w:szCs w:val="18"/>
                <w:lang w:eastAsia="hr-HR"/>
              </w:rPr>
            </w:pPr>
            <w:r>
              <w:rPr>
                <w:sz w:val="18"/>
                <w:szCs w:val="18"/>
                <w:lang w:eastAsia="hr-HR"/>
              </w:rPr>
              <w:t>50%</w:t>
            </w:r>
          </w:p>
        </w:tc>
      </w:tr>
      <w:tr w:rsidR="007E7ABF" w:rsidRPr="00855013" w14:paraId="3D473BA5" w14:textId="6094BFD4" w:rsidTr="007E7ABF">
        <w:trPr>
          <w:trHeight w:val="340"/>
        </w:trPr>
        <w:tc>
          <w:tcPr>
            <w:tcW w:w="4343" w:type="dxa"/>
            <w:shd w:val="clear" w:color="auto" w:fill="auto"/>
            <w:noWrap/>
            <w:vAlign w:val="center"/>
            <w:hideMark/>
          </w:tcPr>
          <w:p w14:paraId="3F0A6926" w14:textId="77777777" w:rsidR="007E7ABF" w:rsidRPr="00855013" w:rsidRDefault="007E7ABF" w:rsidP="00855013">
            <w:pPr>
              <w:jc w:val="left"/>
              <w:rPr>
                <w:sz w:val="18"/>
                <w:szCs w:val="18"/>
                <w:lang w:eastAsia="hr-HR"/>
              </w:rPr>
            </w:pPr>
            <w:r w:rsidRPr="00855013">
              <w:rPr>
                <w:sz w:val="18"/>
                <w:szCs w:val="18"/>
                <w:lang w:eastAsia="hr-HR"/>
              </w:rPr>
              <w:t>Grad Vodnjan</w:t>
            </w:r>
          </w:p>
        </w:tc>
        <w:tc>
          <w:tcPr>
            <w:tcW w:w="256" w:type="dxa"/>
            <w:shd w:val="clear" w:color="auto" w:fill="auto"/>
            <w:noWrap/>
            <w:vAlign w:val="bottom"/>
            <w:hideMark/>
          </w:tcPr>
          <w:p w14:paraId="0D70B07F" w14:textId="77777777" w:rsidR="007E7ABF" w:rsidRPr="00855013" w:rsidRDefault="007E7ABF" w:rsidP="00A02495">
            <w:pPr>
              <w:rPr>
                <w:sz w:val="18"/>
                <w:szCs w:val="18"/>
                <w:lang w:eastAsia="hr-HR"/>
              </w:rPr>
            </w:pPr>
          </w:p>
        </w:tc>
        <w:tc>
          <w:tcPr>
            <w:tcW w:w="2000" w:type="dxa"/>
            <w:shd w:val="clear" w:color="auto" w:fill="auto"/>
            <w:noWrap/>
            <w:vAlign w:val="center"/>
          </w:tcPr>
          <w:p w14:paraId="372FBBDF" w14:textId="5CCDF5BC" w:rsidR="007E7ABF" w:rsidRPr="00855013" w:rsidRDefault="007E7ABF" w:rsidP="00855013">
            <w:pPr>
              <w:jc w:val="right"/>
              <w:rPr>
                <w:sz w:val="18"/>
                <w:szCs w:val="18"/>
                <w:lang w:eastAsia="hr-HR"/>
              </w:rPr>
            </w:pPr>
            <w:r w:rsidRPr="00855013">
              <w:rPr>
                <w:sz w:val="18"/>
                <w:szCs w:val="18"/>
                <w:lang w:eastAsia="hr-HR"/>
              </w:rPr>
              <w:t>171.755</w:t>
            </w:r>
          </w:p>
        </w:tc>
        <w:tc>
          <w:tcPr>
            <w:tcW w:w="2000" w:type="dxa"/>
            <w:vAlign w:val="center"/>
          </w:tcPr>
          <w:p w14:paraId="459015C9" w14:textId="1717AEB8" w:rsidR="007E7ABF" w:rsidRPr="00855013" w:rsidRDefault="007E7ABF" w:rsidP="007E7ABF">
            <w:pPr>
              <w:jc w:val="center"/>
              <w:rPr>
                <w:sz w:val="18"/>
                <w:szCs w:val="18"/>
                <w:lang w:eastAsia="hr-HR"/>
              </w:rPr>
            </w:pPr>
            <w:r>
              <w:rPr>
                <w:sz w:val="18"/>
                <w:szCs w:val="18"/>
                <w:lang w:eastAsia="hr-HR"/>
              </w:rPr>
              <w:t>3%</w:t>
            </w:r>
          </w:p>
        </w:tc>
      </w:tr>
      <w:tr w:rsidR="007E7ABF" w:rsidRPr="00855013" w14:paraId="56ECB7EB" w14:textId="43A09DD4" w:rsidTr="007E7ABF">
        <w:trPr>
          <w:trHeight w:val="340"/>
        </w:trPr>
        <w:tc>
          <w:tcPr>
            <w:tcW w:w="4343" w:type="dxa"/>
            <w:shd w:val="clear" w:color="auto" w:fill="auto"/>
            <w:noWrap/>
            <w:vAlign w:val="center"/>
            <w:hideMark/>
          </w:tcPr>
          <w:p w14:paraId="70C7F66A" w14:textId="77777777" w:rsidR="007E7ABF" w:rsidRPr="00855013" w:rsidRDefault="007E7ABF" w:rsidP="00855013">
            <w:pPr>
              <w:jc w:val="left"/>
              <w:rPr>
                <w:sz w:val="18"/>
                <w:szCs w:val="18"/>
                <w:lang w:eastAsia="hr-HR"/>
              </w:rPr>
            </w:pPr>
            <w:r w:rsidRPr="00855013">
              <w:rPr>
                <w:sz w:val="18"/>
                <w:szCs w:val="18"/>
                <w:lang w:eastAsia="hr-HR"/>
              </w:rPr>
              <w:t>Općina Medulin</w:t>
            </w:r>
          </w:p>
        </w:tc>
        <w:tc>
          <w:tcPr>
            <w:tcW w:w="256" w:type="dxa"/>
            <w:shd w:val="clear" w:color="auto" w:fill="auto"/>
            <w:noWrap/>
            <w:vAlign w:val="bottom"/>
            <w:hideMark/>
          </w:tcPr>
          <w:p w14:paraId="424539AB" w14:textId="77777777" w:rsidR="007E7ABF" w:rsidRPr="00855013" w:rsidRDefault="007E7ABF" w:rsidP="00A02495">
            <w:pPr>
              <w:rPr>
                <w:sz w:val="18"/>
                <w:szCs w:val="18"/>
                <w:lang w:eastAsia="hr-HR"/>
              </w:rPr>
            </w:pPr>
          </w:p>
        </w:tc>
        <w:tc>
          <w:tcPr>
            <w:tcW w:w="2000" w:type="dxa"/>
            <w:shd w:val="clear" w:color="auto" w:fill="auto"/>
            <w:noWrap/>
            <w:vAlign w:val="center"/>
          </w:tcPr>
          <w:p w14:paraId="74C22405" w14:textId="0BC86D99" w:rsidR="007E7ABF" w:rsidRPr="00855013" w:rsidRDefault="007E7ABF" w:rsidP="00855013">
            <w:pPr>
              <w:jc w:val="right"/>
              <w:rPr>
                <w:sz w:val="18"/>
                <w:szCs w:val="18"/>
                <w:lang w:eastAsia="hr-HR"/>
              </w:rPr>
            </w:pPr>
            <w:r w:rsidRPr="00855013">
              <w:rPr>
                <w:sz w:val="18"/>
                <w:szCs w:val="18"/>
                <w:lang w:eastAsia="hr-HR"/>
              </w:rPr>
              <w:t>470.767</w:t>
            </w:r>
          </w:p>
        </w:tc>
        <w:tc>
          <w:tcPr>
            <w:tcW w:w="2000" w:type="dxa"/>
            <w:vAlign w:val="center"/>
          </w:tcPr>
          <w:p w14:paraId="03D3B7BE" w14:textId="658A80A9" w:rsidR="007E7ABF" w:rsidRPr="00855013" w:rsidRDefault="007E7ABF" w:rsidP="007E7ABF">
            <w:pPr>
              <w:jc w:val="center"/>
              <w:rPr>
                <w:sz w:val="18"/>
                <w:szCs w:val="18"/>
                <w:lang w:eastAsia="hr-HR"/>
              </w:rPr>
            </w:pPr>
            <w:r>
              <w:rPr>
                <w:sz w:val="18"/>
                <w:szCs w:val="18"/>
                <w:lang w:eastAsia="hr-HR"/>
              </w:rPr>
              <w:t>9%</w:t>
            </w:r>
          </w:p>
        </w:tc>
      </w:tr>
      <w:tr w:rsidR="007E7ABF" w:rsidRPr="00855013" w14:paraId="267FEE69" w14:textId="6C3CB2D0" w:rsidTr="007E7ABF">
        <w:trPr>
          <w:trHeight w:val="340"/>
        </w:trPr>
        <w:tc>
          <w:tcPr>
            <w:tcW w:w="4343" w:type="dxa"/>
            <w:shd w:val="clear" w:color="auto" w:fill="auto"/>
            <w:noWrap/>
            <w:vAlign w:val="center"/>
            <w:hideMark/>
          </w:tcPr>
          <w:p w14:paraId="5258A5FC" w14:textId="77777777" w:rsidR="007E7ABF" w:rsidRPr="00855013" w:rsidRDefault="007E7ABF" w:rsidP="00855013">
            <w:pPr>
              <w:jc w:val="left"/>
              <w:rPr>
                <w:sz w:val="18"/>
                <w:szCs w:val="18"/>
                <w:lang w:eastAsia="hr-HR"/>
              </w:rPr>
            </w:pPr>
            <w:r w:rsidRPr="00855013">
              <w:rPr>
                <w:sz w:val="18"/>
                <w:szCs w:val="18"/>
                <w:lang w:eastAsia="hr-HR"/>
              </w:rPr>
              <w:t>Općina Ližnjan</w:t>
            </w:r>
          </w:p>
        </w:tc>
        <w:tc>
          <w:tcPr>
            <w:tcW w:w="256" w:type="dxa"/>
            <w:shd w:val="clear" w:color="auto" w:fill="auto"/>
            <w:noWrap/>
            <w:vAlign w:val="bottom"/>
            <w:hideMark/>
          </w:tcPr>
          <w:p w14:paraId="2DE498CD" w14:textId="77777777" w:rsidR="007E7ABF" w:rsidRPr="00855013" w:rsidRDefault="007E7ABF" w:rsidP="00A02495">
            <w:pPr>
              <w:rPr>
                <w:sz w:val="18"/>
                <w:szCs w:val="18"/>
                <w:lang w:eastAsia="hr-HR"/>
              </w:rPr>
            </w:pPr>
          </w:p>
        </w:tc>
        <w:tc>
          <w:tcPr>
            <w:tcW w:w="2000" w:type="dxa"/>
            <w:shd w:val="clear" w:color="auto" w:fill="auto"/>
            <w:noWrap/>
            <w:vAlign w:val="center"/>
          </w:tcPr>
          <w:p w14:paraId="35C6CBA9" w14:textId="04A21647" w:rsidR="007E7ABF" w:rsidRPr="00855013" w:rsidRDefault="007E7ABF" w:rsidP="00855013">
            <w:pPr>
              <w:jc w:val="right"/>
              <w:rPr>
                <w:sz w:val="18"/>
                <w:szCs w:val="18"/>
                <w:lang w:eastAsia="hr-HR"/>
              </w:rPr>
            </w:pPr>
            <w:r w:rsidRPr="00855013">
              <w:rPr>
                <w:sz w:val="18"/>
                <w:szCs w:val="18"/>
                <w:lang w:eastAsia="hr-HR"/>
              </w:rPr>
              <w:t>11.910</w:t>
            </w:r>
          </w:p>
        </w:tc>
        <w:tc>
          <w:tcPr>
            <w:tcW w:w="2000" w:type="dxa"/>
            <w:vAlign w:val="center"/>
          </w:tcPr>
          <w:p w14:paraId="6FA4B7A4" w14:textId="2141CD09" w:rsidR="007E7ABF" w:rsidRPr="00855013" w:rsidRDefault="007E7ABF" w:rsidP="007E7ABF">
            <w:pPr>
              <w:jc w:val="center"/>
              <w:rPr>
                <w:sz w:val="18"/>
                <w:szCs w:val="18"/>
                <w:lang w:eastAsia="hr-HR"/>
              </w:rPr>
            </w:pPr>
            <w:r>
              <w:rPr>
                <w:sz w:val="18"/>
                <w:szCs w:val="18"/>
                <w:lang w:eastAsia="hr-HR"/>
              </w:rPr>
              <w:t>0%</w:t>
            </w:r>
          </w:p>
        </w:tc>
      </w:tr>
      <w:tr w:rsidR="007E7ABF" w:rsidRPr="00855013" w14:paraId="0C88B576" w14:textId="1D2605F1" w:rsidTr="007E7ABF">
        <w:trPr>
          <w:trHeight w:val="340"/>
        </w:trPr>
        <w:tc>
          <w:tcPr>
            <w:tcW w:w="4343" w:type="dxa"/>
            <w:shd w:val="clear" w:color="auto" w:fill="auto"/>
            <w:noWrap/>
            <w:vAlign w:val="center"/>
            <w:hideMark/>
          </w:tcPr>
          <w:p w14:paraId="14E9E7B9" w14:textId="77777777" w:rsidR="007E7ABF" w:rsidRPr="00855013" w:rsidRDefault="007E7ABF" w:rsidP="00855013">
            <w:pPr>
              <w:jc w:val="left"/>
              <w:rPr>
                <w:sz w:val="18"/>
                <w:szCs w:val="18"/>
                <w:lang w:eastAsia="hr-HR"/>
              </w:rPr>
            </w:pPr>
            <w:r w:rsidRPr="00855013">
              <w:rPr>
                <w:sz w:val="18"/>
                <w:szCs w:val="18"/>
                <w:lang w:eastAsia="hr-HR"/>
              </w:rPr>
              <w:t>Općina Marčana</w:t>
            </w:r>
          </w:p>
        </w:tc>
        <w:tc>
          <w:tcPr>
            <w:tcW w:w="256" w:type="dxa"/>
            <w:shd w:val="clear" w:color="auto" w:fill="auto"/>
            <w:noWrap/>
            <w:vAlign w:val="bottom"/>
            <w:hideMark/>
          </w:tcPr>
          <w:p w14:paraId="6C6B52CF" w14:textId="77777777" w:rsidR="007E7ABF" w:rsidRPr="00855013" w:rsidRDefault="007E7ABF" w:rsidP="00A02495">
            <w:pPr>
              <w:rPr>
                <w:sz w:val="18"/>
                <w:szCs w:val="18"/>
                <w:lang w:eastAsia="hr-HR"/>
              </w:rPr>
            </w:pPr>
          </w:p>
        </w:tc>
        <w:tc>
          <w:tcPr>
            <w:tcW w:w="2000" w:type="dxa"/>
            <w:shd w:val="clear" w:color="auto" w:fill="auto"/>
            <w:noWrap/>
            <w:vAlign w:val="center"/>
          </w:tcPr>
          <w:p w14:paraId="6C54CEA6" w14:textId="6E3C10BE" w:rsidR="007E7ABF" w:rsidRPr="00855013" w:rsidRDefault="007E7ABF" w:rsidP="00855013">
            <w:pPr>
              <w:jc w:val="right"/>
              <w:rPr>
                <w:sz w:val="18"/>
                <w:szCs w:val="18"/>
                <w:lang w:eastAsia="hr-HR"/>
              </w:rPr>
            </w:pPr>
            <w:r w:rsidRPr="00855013">
              <w:rPr>
                <w:sz w:val="18"/>
                <w:szCs w:val="18"/>
                <w:lang w:eastAsia="hr-HR"/>
              </w:rPr>
              <w:t>200.407</w:t>
            </w:r>
          </w:p>
        </w:tc>
        <w:tc>
          <w:tcPr>
            <w:tcW w:w="2000" w:type="dxa"/>
            <w:vAlign w:val="center"/>
          </w:tcPr>
          <w:p w14:paraId="56BEAFAA" w14:textId="2DFCA949" w:rsidR="007E7ABF" w:rsidRPr="00855013" w:rsidRDefault="007E7ABF" w:rsidP="007E7ABF">
            <w:pPr>
              <w:jc w:val="center"/>
              <w:rPr>
                <w:sz w:val="18"/>
                <w:szCs w:val="18"/>
                <w:lang w:eastAsia="hr-HR"/>
              </w:rPr>
            </w:pPr>
            <w:r>
              <w:rPr>
                <w:sz w:val="18"/>
                <w:szCs w:val="18"/>
                <w:lang w:eastAsia="hr-HR"/>
              </w:rPr>
              <w:t>4%</w:t>
            </w:r>
          </w:p>
        </w:tc>
      </w:tr>
      <w:tr w:rsidR="007E7ABF" w:rsidRPr="00855013" w14:paraId="452025DE" w14:textId="6C65E0AD" w:rsidTr="007E7ABF">
        <w:trPr>
          <w:trHeight w:val="340"/>
        </w:trPr>
        <w:tc>
          <w:tcPr>
            <w:tcW w:w="4343" w:type="dxa"/>
            <w:shd w:val="clear" w:color="auto" w:fill="auto"/>
            <w:noWrap/>
            <w:vAlign w:val="center"/>
            <w:hideMark/>
          </w:tcPr>
          <w:p w14:paraId="73A62CC8" w14:textId="77777777" w:rsidR="007E7ABF" w:rsidRPr="00855013" w:rsidRDefault="007E7ABF" w:rsidP="00855013">
            <w:pPr>
              <w:jc w:val="left"/>
              <w:rPr>
                <w:sz w:val="18"/>
                <w:szCs w:val="18"/>
                <w:lang w:eastAsia="hr-HR"/>
              </w:rPr>
            </w:pPr>
            <w:r w:rsidRPr="00855013">
              <w:rPr>
                <w:sz w:val="18"/>
                <w:szCs w:val="18"/>
                <w:lang w:eastAsia="hr-HR"/>
              </w:rPr>
              <w:t>Općina Fažana</w:t>
            </w:r>
          </w:p>
        </w:tc>
        <w:tc>
          <w:tcPr>
            <w:tcW w:w="256" w:type="dxa"/>
            <w:shd w:val="clear" w:color="auto" w:fill="auto"/>
            <w:noWrap/>
            <w:vAlign w:val="bottom"/>
            <w:hideMark/>
          </w:tcPr>
          <w:p w14:paraId="4910E858" w14:textId="77777777" w:rsidR="007E7ABF" w:rsidRPr="00855013" w:rsidRDefault="007E7ABF" w:rsidP="00A02495">
            <w:pPr>
              <w:rPr>
                <w:sz w:val="18"/>
                <w:szCs w:val="18"/>
                <w:lang w:eastAsia="hr-HR"/>
              </w:rPr>
            </w:pPr>
          </w:p>
        </w:tc>
        <w:tc>
          <w:tcPr>
            <w:tcW w:w="2000" w:type="dxa"/>
            <w:shd w:val="clear" w:color="auto" w:fill="auto"/>
            <w:noWrap/>
            <w:vAlign w:val="center"/>
          </w:tcPr>
          <w:p w14:paraId="28AE6331" w14:textId="0767E115" w:rsidR="007E7ABF" w:rsidRPr="00855013" w:rsidRDefault="007E7ABF" w:rsidP="00855013">
            <w:pPr>
              <w:jc w:val="right"/>
              <w:rPr>
                <w:sz w:val="18"/>
                <w:szCs w:val="18"/>
                <w:lang w:eastAsia="hr-HR"/>
              </w:rPr>
            </w:pPr>
            <w:r w:rsidRPr="00855013">
              <w:rPr>
                <w:sz w:val="18"/>
                <w:szCs w:val="18"/>
                <w:lang w:eastAsia="hr-HR"/>
              </w:rPr>
              <w:t>304.710</w:t>
            </w:r>
          </w:p>
        </w:tc>
        <w:tc>
          <w:tcPr>
            <w:tcW w:w="2000" w:type="dxa"/>
            <w:vAlign w:val="center"/>
          </w:tcPr>
          <w:p w14:paraId="1B693779" w14:textId="34E97937" w:rsidR="007E7ABF" w:rsidRPr="00855013" w:rsidRDefault="007E7ABF" w:rsidP="007E7ABF">
            <w:pPr>
              <w:jc w:val="center"/>
              <w:rPr>
                <w:sz w:val="18"/>
                <w:szCs w:val="18"/>
                <w:lang w:eastAsia="hr-HR"/>
              </w:rPr>
            </w:pPr>
            <w:r>
              <w:rPr>
                <w:sz w:val="18"/>
                <w:szCs w:val="18"/>
                <w:lang w:eastAsia="hr-HR"/>
              </w:rPr>
              <w:t>6%</w:t>
            </w:r>
          </w:p>
        </w:tc>
      </w:tr>
      <w:tr w:rsidR="007E7ABF" w:rsidRPr="00855013" w14:paraId="51305803" w14:textId="2E81E2B7" w:rsidTr="007E7ABF">
        <w:trPr>
          <w:trHeight w:val="340"/>
        </w:trPr>
        <w:tc>
          <w:tcPr>
            <w:tcW w:w="4343" w:type="dxa"/>
            <w:shd w:val="clear" w:color="auto" w:fill="auto"/>
            <w:noWrap/>
            <w:vAlign w:val="center"/>
            <w:hideMark/>
          </w:tcPr>
          <w:p w14:paraId="7D599208" w14:textId="77777777" w:rsidR="007E7ABF" w:rsidRPr="00855013" w:rsidRDefault="007E7ABF" w:rsidP="00855013">
            <w:pPr>
              <w:jc w:val="left"/>
              <w:rPr>
                <w:sz w:val="18"/>
                <w:szCs w:val="18"/>
                <w:lang w:eastAsia="hr-HR"/>
              </w:rPr>
            </w:pPr>
            <w:r w:rsidRPr="00855013">
              <w:rPr>
                <w:sz w:val="18"/>
                <w:szCs w:val="18"/>
                <w:lang w:eastAsia="hr-HR"/>
              </w:rPr>
              <w:t>Općina Barban</w:t>
            </w:r>
          </w:p>
        </w:tc>
        <w:tc>
          <w:tcPr>
            <w:tcW w:w="256" w:type="dxa"/>
            <w:shd w:val="clear" w:color="auto" w:fill="auto"/>
            <w:noWrap/>
            <w:vAlign w:val="bottom"/>
            <w:hideMark/>
          </w:tcPr>
          <w:p w14:paraId="70443BAF" w14:textId="77777777" w:rsidR="007E7ABF" w:rsidRPr="00855013" w:rsidRDefault="007E7ABF" w:rsidP="00A02495">
            <w:pPr>
              <w:rPr>
                <w:sz w:val="18"/>
                <w:szCs w:val="18"/>
                <w:lang w:eastAsia="hr-HR"/>
              </w:rPr>
            </w:pPr>
          </w:p>
        </w:tc>
        <w:tc>
          <w:tcPr>
            <w:tcW w:w="2000" w:type="dxa"/>
            <w:shd w:val="clear" w:color="auto" w:fill="auto"/>
            <w:noWrap/>
            <w:vAlign w:val="center"/>
          </w:tcPr>
          <w:p w14:paraId="04B28F4E" w14:textId="644DC576" w:rsidR="007E7ABF" w:rsidRPr="00855013" w:rsidRDefault="007E7ABF" w:rsidP="00855013">
            <w:pPr>
              <w:jc w:val="right"/>
              <w:rPr>
                <w:sz w:val="18"/>
                <w:szCs w:val="18"/>
                <w:lang w:eastAsia="hr-HR"/>
              </w:rPr>
            </w:pPr>
            <w:r w:rsidRPr="00855013">
              <w:rPr>
                <w:sz w:val="18"/>
                <w:szCs w:val="18"/>
                <w:lang w:eastAsia="hr-HR"/>
              </w:rPr>
              <w:t>25.175</w:t>
            </w:r>
          </w:p>
        </w:tc>
        <w:tc>
          <w:tcPr>
            <w:tcW w:w="2000" w:type="dxa"/>
            <w:vAlign w:val="center"/>
          </w:tcPr>
          <w:p w14:paraId="47E36471" w14:textId="453216F6" w:rsidR="007E7ABF" w:rsidRPr="00855013" w:rsidRDefault="007E7ABF" w:rsidP="007E7ABF">
            <w:pPr>
              <w:jc w:val="center"/>
              <w:rPr>
                <w:sz w:val="18"/>
                <w:szCs w:val="18"/>
                <w:lang w:eastAsia="hr-HR"/>
              </w:rPr>
            </w:pPr>
            <w:r>
              <w:rPr>
                <w:sz w:val="18"/>
                <w:szCs w:val="18"/>
                <w:lang w:eastAsia="hr-HR"/>
              </w:rPr>
              <w:t>0%</w:t>
            </w:r>
          </w:p>
        </w:tc>
      </w:tr>
      <w:tr w:rsidR="007E7ABF" w:rsidRPr="00855013" w14:paraId="07C6546B" w14:textId="79911458" w:rsidTr="007E7ABF">
        <w:trPr>
          <w:trHeight w:val="340"/>
        </w:trPr>
        <w:tc>
          <w:tcPr>
            <w:tcW w:w="4343" w:type="dxa"/>
            <w:shd w:val="clear" w:color="auto" w:fill="auto"/>
            <w:noWrap/>
            <w:vAlign w:val="center"/>
            <w:hideMark/>
          </w:tcPr>
          <w:p w14:paraId="46AD392A" w14:textId="77777777" w:rsidR="007E7ABF" w:rsidRPr="00855013" w:rsidRDefault="007E7ABF" w:rsidP="00855013">
            <w:pPr>
              <w:jc w:val="left"/>
              <w:rPr>
                <w:sz w:val="18"/>
                <w:szCs w:val="18"/>
                <w:lang w:eastAsia="hr-HR"/>
              </w:rPr>
            </w:pPr>
            <w:r w:rsidRPr="00855013">
              <w:rPr>
                <w:sz w:val="18"/>
                <w:szCs w:val="18"/>
                <w:lang w:eastAsia="hr-HR"/>
              </w:rPr>
              <w:t>Općina Svetvinčenat</w:t>
            </w:r>
          </w:p>
        </w:tc>
        <w:tc>
          <w:tcPr>
            <w:tcW w:w="256" w:type="dxa"/>
            <w:shd w:val="clear" w:color="auto" w:fill="auto"/>
            <w:noWrap/>
            <w:vAlign w:val="bottom"/>
            <w:hideMark/>
          </w:tcPr>
          <w:p w14:paraId="7E76E46F" w14:textId="77777777" w:rsidR="007E7ABF" w:rsidRPr="00855013" w:rsidRDefault="007E7ABF" w:rsidP="00A02495">
            <w:pPr>
              <w:rPr>
                <w:sz w:val="18"/>
                <w:szCs w:val="18"/>
                <w:lang w:eastAsia="hr-HR"/>
              </w:rPr>
            </w:pPr>
          </w:p>
        </w:tc>
        <w:tc>
          <w:tcPr>
            <w:tcW w:w="2000" w:type="dxa"/>
            <w:shd w:val="clear" w:color="auto" w:fill="auto"/>
            <w:noWrap/>
            <w:vAlign w:val="center"/>
          </w:tcPr>
          <w:p w14:paraId="322670E8" w14:textId="4E4CE6D7" w:rsidR="007E7ABF" w:rsidRPr="00855013" w:rsidRDefault="007E7ABF" w:rsidP="00855013">
            <w:pPr>
              <w:jc w:val="right"/>
              <w:rPr>
                <w:sz w:val="18"/>
                <w:szCs w:val="18"/>
                <w:lang w:eastAsia="hr-HR"/>
              </w:rPr>
            </w:pPr>
            <w:r w:rsidRPr="00855013">
              <w:rPr>
                <w:sz w:val="18"/>
                <w:szCs w:val="18"/>
                <w:lang w:eastAsia="hr-HR"/>
              </w:rPr>
              <w:t>59.232</w:t>
            </w:r>
          </w:p>
        </w:tc>
        <w:tc>
          <w:tcPr>
            <w:tcW w:w="2000" w:type="dxa"/>
            <w:vAlign w:val="center"/>
          </w:tcPr>
          <w:p w14:paraId="4DC6773E" w14:textId="132DA2F8" w:rsidR="007E7ABF" w:rsidRPr="00855013" w:rsidRDefault="007E7ABF" w:rsidP="007E7ABF">
            <w:pPr>
              <w:jc w:val="center"/>
              <w:rPr>
                <w:sz w:val="18"/>
                <w:szCs w:val="18"/>
                <w:lang w:eastAsia="hr-HR"/>
              </w:rPr>
            </w:pPr>
            <w:r>
              <w:rPr>
                <w:sz w:val="18"/>
                <w:szCs w:val="18"/>
                <w:lang w:eastAsia="hr-HR"/>
              </w:rPr>
              <w:t>1%</w:t>
            </w:r>
          </w:p>
        </w:tc>
      </w:tr>
      <w:tr w:rsidR="007E7ABF" w:rsidRPr="00855013" w14:paraId="56AC4B3D" w14:textId="51D9685A" w:rsidTr="007E7ABF">
        <w:trPr>
          <w:trHeight w:val="340"/>
        </w:trPr>
        <w:tc>
          <w:tcPr>
            <w:tcW w:w="4599" w:type="dxa"/>
            <w:gridSpan w:val="2"/>
            <w:tcBorders>
              <w:bottom w:val="single" w:sz="8" w:space="0" w:color="404040" w:themeColor="text1" w:themeTint="BF"/>
            </w:tcBorders>
            <w:shd w:val="clear" w:color="auto" w:fill="auto"/>
            <w:vAlign w:val="center"/>
            <w:hideMark/>
          </w:tcPr>
          <w:p w14:paraId="5EA14212" w14:textId="4CE08FA2" w:rsidR="007E7ABF" w:rsidRPr="00855013" w:rsidRDefault="007E7ABF" w:rsidP="00855013">
            <w:pPr>
              <w:jc w:val="left"/>
              <w:rPr>
                <w:sz w:val="18"/>
                <w:szCs w:val="18"/>
                <w:lang w:eastAsia="hr-HR"/>
              </w:rPr>
            </w:pPr>
            <w:r w:rsidRPr="00855013">
              <w:rPr>
                <w:sz w:val="18"/>
                <w:szCs w:val="18"/>
                <w:lang w:eastAsia="hr-HR"/>
              </w:rPr>
              <w:t>Zajednička ulaganja (cjevovod RS Rakonek-RS Prnjani, Štokovci-Gilešići)</w:t>
            </w:r>
          </w:p>
        </w:tc>
        <w:tc>
          <w:tcPr>
            <w:tcW w:w="2000" w:type="dxa"/>
            <w:tcBorders>
              <w:bottom w:val="single" w:sz="8" w:space="0" w:color="404040" w:themeColor="text1" w:themeTint="BF"/>
            </w:tcBorders>
            <w:shd w:val="clear" w:color="auto" w:fill="auto"/>
            <w:noWrap/>
            <w:vAlign w:val="center"/>
          </w:tcPr>
          <w:p w14:paraId="6B708507" w14:textId="36A334F0" w:rsidR="007E7ABF" w:rsidRPr="00855013" w:rsidRDefault="007E7ABF" w:rsidP="00855013">
            <w:pPr>
              <w:jc w:val="right"/>
              <w:rPr>
                <w:sz w:val="18"/>
                <w:szCs w:val="18"/>
                <w:lang w:eastAsia="hr-HR"/>
              </w:rPr>
            </w:pPr>
            <w:r w:rsidRPr="00855013">
              <w:rPr>
                <w:sz w:val="18"/>
                <w:szCs w:val="18"/>
                <w:lang w:eastAsia="hr-HR"/>
              </w:rPr>
              <w:t>1.318.708</w:t>
            </w:r>
          </w:p>
        </w:tc>
        <w:tc>
          <w:tcPr>
            <w:tcW w:w="2000" w:type="dxa"/>
            <w:tcBorders>
              <w:bottom w:val="single" w:sz="8" w:space="0" w:color="404040" w:themeColor="text1" w:themeTint="BF"/>
            </w:tcBorders>
            <w:vAlign w:val="center"/>
          </w:tcPr>
          <w:p w14:paraId="1C8534F1" w14:textId="627DA968" w:rsidR="007E7ABF" w:rsidRPr="00855013" w:rsidRDefault="007E7ABF" w:rsidP="007E7ABF">
            <w:pPr>
              <w:jc w:val="center"/>
              <w:rPr>
                <w:sz w:val="18"/>
                <w:szCs w:val="18"/>
                <w:lang w:eastAsia="hr-HR"/>
              </w:rPr>
            </w:pPr>
            <w:r>
              <w:rPr>
                <w:sz w:val="18"/>
                <w:szCs w:val="18"/>
                <w:lang w:eastAsia="hr-HR"/>
              </w:rPr>
              <w:t>26%</w:t>
            </w:r>
          </w:p>
        </w:tc>
      </w:tr>
      <w:tr w:rsidR="007E7ABF" w:rsidRPr="00855013" w14:paraId="56F4E490" w14:textId="3D4CB8C6" w:rsidTr="007E7ABF">
        <w:trPr>
          <w:trHeight w:val="340"/>
        </w:trPr>
        <w:tc>
          <w:tcPr>
            <w:tcW w:w="4343" w:type="dxa"/>
            <w:tcBorders>
              <w:top w:val="single" w:sz="8" w:space="0" w:color="404040" w:themeColor="text1" w:themeTint="BF"/>
              <w:bottom w:val="single" w:sz="8" w:space="0" w:color="404040" w:themeColor="text1" w:themeTint="BF"/>
            </w:tcBorders>
            <w:shd w:val="clear" w:color="auto" w:fill="auto"/>
            <w:noWrap/>
            <w:vAlign w:val="center"/>
            <w:hideMark/>
          </w:tcPr>
          <w:p w14:paraId="2ACF3A01" w14:textId="2B3890BC" w:rsidR="007E7ABF" w:rsidRPr="00855013" w:rsidRDefault="007E7ABF" w:rsidP="00855013">
            <w:pPr>
              <w:jc w:val="left"/>
              <w:rPr>
                <w:b/>
                <w:bCs/>
                <w:sz w:val="18"/>
                <w:szCs w:val="18"/>
                <w:lang w:eastAsia="hr-HR"/>
              </w:rPr>
            </w:pPr>
            <w:r w:rsidRPr="00855013">
              <w:rPr>
                <w:b/>
                <w:bCs/>
                <w:sz w:val="18"/>
                <w:szCs w:val="18"/>
                <w:lang w:eastAsia="hr-HR"/>
              </w:rPr>
              <w:t>Sveukupno</w:t>
            </w:r>
          </w:p>
        </w:tc>
        <w:tc>
          <w:tcPr>
            <w:tcW w:w="256" w:type="dxa"/>
            <w:tcBorders>
              <w:top w:val="single" w:sz="8" w:space="0" w:color="404040" w:themeColor="text1" w:themeTint="BF"/>
              <w:bottom w:val="single" w:sz="8" w:space="0" w:color="404040" w:themeColor="text1" w:themeTint="BF"/>
            </w:tcBorders>
            <w:shd w:val="clear" w:color="auto" w:fill="auto"/>
            <w:noWrap/>
            <w:vAlign w:val="center"/>
            <w:hideMark/>
          </w:tcPr>
          <w:p w14:paraId="6AF0FFD8" w14:textId="77777777" w:rsidR="007E7ABF" w:rsidRPr="00855013" w:rsidRDefault="007E7ABF" w:rsidP="00A02495">
            <w:pPr>
              <w:rPr>
                <w:b/>
                <w:bCs/>
                <w:sz w:val="18"/>
                <w:szCs w:val="18"/>
                <w:lang w:eastAsia="hr-HR"/>
              </w:rPr>
            </w:pPr>
            <w:r w:rsidRPr="00855013">
              <w:rPr>
                <w:b/>
                <w:bCs/>
                <w:sz w:val="18"/>
                <w:szCs w:val="18"/>
                <w:lang w:eastAsia="hr-HR"/>
              </w:rPr>
              <w:t> </w:t>
            </w:r>
          </w:p>
        </w:tc>
        <w:tc>
          <w:tcPr>
            <w:tcW w:w="2000" w:type="dxa"/>
            <w:tcBorders>
              <w:top w:val="single" w:sz="8" w:space="0" w:color="404040" w:themeColor="text1" w:themeTint="BF"/>
              <w:bottom w:val="single" w:sz="8" w:space="0" w:color="404040" w:themeColor="text1" w:themeTint="BF"/>
            </w:tcBorders>
            <w:shd w:val="clear" w:color="auto" w:fill="auto"/>
            <w:noWrap/>
            <w:vAlign w:val="center"/>
          </w:tcPr>
          <w:p w14:paraId="3A93E63F" w14:textId="44AD409D" w:rsidR="007E7ABF" w:rsidRPr="00855013" w:rsidRDefault="007E7ABF" w:rsidP="00855013">
            <w:pPr>
              <w:jc w:val="right"/>
              <w:rPr>
                <w:b/>
                <w:bCs/>
                <w:sz w:val="18"/>
                <w:szCs w:val="18"/>
                <w:lang w:eastAsia="hr-HR"/>
              </w:rPr>
            </w:pPr>
            <w:r w:rsidRPr="00855013">
              <w:rPr>
                <w:b/>
                <w:bCs/>
                <w:sz w:val="18"/>
                <w:szCs w:val="18"/>
                <w:lang w:eastAsia="hr-HR"/>
              </w:rPr>
              <w:fldChar w:fldCharType="begin"/>
            </w:r>
            <w:r w:rsidRPr="00855013">
              <w:rPr>
                <w:b/>
                <w:bCs/>
                <w:sz w:val="18"/>
                <w:szCs w:val="18"/>
                <w:lang w:eastAsia="hr-HR"/>
              </w:rPr>
              <w:instrText xml:space="preserve"> =SUM(ABOVE) </w:instrText>
            </w:r>
            <w:r w:rsidRPr="00855013">
              <w:rPr>
                <w:b/>
                <w:bCs/>
                <w:sz w:val="18"/>
                <w:szCs w:val="18"/>
                <w:lang w:eastAsia="hr-HR"/>
              </w:rPr>
              <w:fldChar w:fldCharType="separate"/>
            </w:r>
            <w:r w:rsidRPr="00855013">
              <w:rPr>
                <w:b/>
                <w:bCs/>
                <w:noProof/>
                <w:sz w:val="18"/>
                <w:szCs w:val="18"/>
                <w:lang w:eastAsia="hr-HR"/>
              </w:rPr>
              <w:t>5.087.09</w:t>
            </w:r>
            <w:r w:rsidRPr="00855013">
              <w:rPr>
                <w:b/>
                <w:bCs/>
                <w:sz w:val="18"/>
                <w:szCs w:val="18"/>
                <w:lang w:eastAsia="hr-HR"/>
              </w:rPr>
              <w:fldChar w:fldCharType="end"/>
            </w:r>
            <w:r w:rsidRPr="00855013">
              <w:rPr>
                <w:b/>
                <w:bCs/>
                <w:sz w:val="18"/>
                <w:szCs w:val="18"/>
                <w:lang w:eastAsia="hr-HR"/>
              </w:rPr>
              <w:t>3</w:t>
            </w:r>
          </w:p>
        </w:tc>
        <w:tc>
          <w:tcPr>
            <w:tcW w:w="2000" w:type="dxa"/>
            <w:tcBorders>
              <w:top w:val="single" w:sz="8" w:space="0" w:color="404040" w:themeColor="text1" w:themeTint="BF"/>
              <w:bottom w:val="single" w:sz="8" w:space="0" w:color="404040" w:themeColor="text1" w:themeTint="BF"/>
            </w:tcBorders>
          </w:tcPr>
          <w:p w14:paraId="435958C0" w14:textId="77777777" w:rsidR="007E7ABF" w:rsidRPr="00855013" w:rsidRDefault="007E7ABF" w:rsidP="00855013">
            <w:pPr>
              <w:jc w:val="right"/>
              <w:rPr>
                <w:b/>
                <w:bCs/>
                <w:sz w:val="18"/>
                <w:szCs w:val="18"/>
                <w:lang w:eastAsia="hr-HR"/>
              </w:rPr>
            </w:pPr>
          </w:p>
        </w:tc>
      </w:tr>
    </w:tbl>
    <w:p w14:paraId="0BF154D0" w14:textId="77777777" w:rsidR="00141FEA" w:rsidRPr="0029628C" w:rsidRDefault="00141FEA" w:rsidP="00A02495"/>
    <w:p w14:paraId="444F63A3" w14:textId="77777777" w:rsidR="007E0F6A" w:rsidRPr="000B77D4" w:rsidRDefault="007E0F6A" w:rsidP="00A02495"/>
    <w:p w14:paraId="34AE4745" w14:textId="4DACCC36" w:rsidR="00AB3109" w:rsidRPr="009A14F9" w:rsidRDefault="00AB3109" w:rsidP="00A02495">
      <w:r w:rsidRPr="009A14F9">
        <w:t>Značajnije investicije u mrežu odvodnje u 202</w:t>
      </w:r>
      <w:r w:rsidR="009A14F9">
        <w:t>4</w:t>
      </w:r>
      <w:r w:rsidRPr="009A14F9">
        <w:t>.</w:t>
      </w:r>
      <w:r w:rsidR="009A14F9">
        <w:t xml:space="preserve"> </w:t>
      </w:r>
      <w:r w:rsidRPr="009A14F9">
        <w:t xml:space="preserve">godini su slijedeće: </w:t>
      </w:r>
    </w:p>
    <w:p w14:paraId="00363E36" w14:textId="77777777" w:rsidR="009A14F9" w:rsidRDefault="009A14F9" w:rsidP="00A02495">
      <w:pPr>
        <w:rPr>
          <w:highlight w:val="green"/>
        </w:rPr>
      </w:pPr>
    </w:p>
    <w:tbl>
      <w:tblPr>
        <w:tblW w:w="9392" w:type="dxa"/>
        <w:tblInd w:w="118" w:type="dxa"/>
        <w:tblBorders>
          <w:top w:val="single" w:sz="4" w:space="0" w:color="BFBFBF" w:themeColor="background1" w:themeShade="BF"/>
          <w:bottom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8094"/>
        <w:gridCol w:w="1298"/>
      </w:tblGrid>
      <w:tr w:rsidR="009A14F9" w:rsidRPr="005347D5" w14:paraId="1A4073DC" w14:textId="77777777" w:rsidTr="005347D5">
        <w:trPr>
          <w:trHeight w:val="397"/>
        </w:trPr>
        <w:tc>
          <w:tcPr>
            <w:tcW w:w="8094" w:type="dxa"/>
            <w:tcBorders>
              <w:top w:val="single" w:sz="8" w:space="0" w:color="404040" w:themeColor="text1" w:themeTint="BF"/>
              <w:bottom w:val="single" w:sz="8" w:space="0" w:color="404040" w:themeColor="text1" w:themeTint="BF"/>
            </w:tcBorders>
            <w:shd w:val="clear" w:color="000000" w:fill="D9D9D9"/>
            <w:vAlign w:val="center"/>
            <w:hideMark/>
          </w:tcPr>
          <w:p w14:paraId="1A17EDC0" w14:textId="461E1F37" w:rsidR="009A14F9" w:rsidRPr="005347D5" w:rsidRDefault="001522B0" w:rsidP="00A02495">
            <w:pPr>
              <w:rPr>
                <w:b/>
                <w:bCs/>
                <w:sz w:val="18"/>
                <w:szCs w:val="18"/>
                <w:lang w:eastAsia="hr-HR"/>
              </w:rPr>
            </w:pPr>
            <w:r>
              <w:rPr>
                <w:b/>
                <w:bCs/>
                <w:sz w:val="18"/>
                <w:szCs w:val="18"/>
                <w:lang w:eastAsia="hr-HR"/>
              </w:rPr>
              <w:t>Značajne investicije – MREŽA ODVODNJE</w:t>
            </w:r>
          </w:p>
        </w:tc>
        <w:tc>
          <w:tcPr>
            <w:tcW w:w="1298" w:type="dxa"/>
            <w:tcBorders>
              <w:top w:val="single" w:sz="8" w:space="0" w:color="404040" w:themeColor="text1" w:themeTint="BF"/>
              <w:bottom w:val="single" w:sz="8" w:space="0" w:color="404040" w:themeColor="text1" w:themeTint="BF"/>
            </w:tcBorders>
            <w:shd w:val="clear" w:color="000000" w:fill="D9D9D9"/>
            <w:vAlign w:val="center"/>
            <w:hideMark/>
          </w:tcPr>
          <w:p w14:paraId="23088E1B" w14:textId="1E4CE71C" w:rsidR="009A14F9" w:rsidRPr="005347D5" w:rsidRDefault="009A14F9" w:rsidP="00F82AD5">
            <w:pPr>
              <w:jc w:val="center"/>
              <w:rPr>
                <w:b/>
                <w:bCs/>
                <w:sz w:val="18"/>
                <w:szCs w:val="18"/>
                <w:lang w:eastAsia="hr-HR"/>
              </w:rPr>
            </w:pPr>
            <w:r w:rsidRPr="005347D5">
              <w:rPr>
                <w:b/>
                <w:bCs/>
                <w:sz w:val="18"/>
                <w:szCs w:val="18"/>
                <w:lang w:eastAsia="hr-HR"/>
              </w:rPr>
              <w:t xml:space="preserve">IZNOS           (tisuća </w:t>
            </w:r>
            <w:r w:rsidR="00F82AD5" w:rsidRPr="005347D5">
              <w:rPr>
                <w:b/>
                <w:bCs/>
                <w:sz w:val="18"/>
                <w:szCs w:val="18"/>
                <w:lang w:eastAsia="hr-HR"/>
              </w:rPr>
              <w:t>eura</w:t>
            </w:r>
            <w:r w:rsidRPr="005347D5">
              <w:rPr>
                <w:b/>
                <w:bCs/>
                <w:sz w:val="18"/>
                <w:szCs w:val="18"/>
                <w:lang w:eastAsia="hr-HR"/>
              </w:rPr>
              <w:t>)</w:t>
            </w:r>
          </w:p>
        </w:tc>
      </w:tr>
      <w:tr w:rsidR="009A14F9" w:rsidRPr="00A02495" w14:paraId="14DAC0C2" w14:textId="77777777" w:rsidTr="005347D5">
        <w:trPr>
          <w:trHeight w:val="397"/>
        </w:trPr>
        <w:tc>
          <w:tcPr>
            <w:tcW w:w="8094" w:type="dxa"/>
            <w:tcBorders>
              <w:top w:val="single" w:sz="8" w:space="0" w:color="404040" w:themeColor="text1" w:themeTint="BF"/>
            </w:tcBorders>
            <w:shd w:val="clear" w:color="auto" w:fill="auto"/>
            <w:vAlign w:val="center"/>
            <w:hideMark/>
          </w:tcPr>
          <w:p w14:paraId="35A96E6D" w14:textId="30DEA74F" w:rsidR="009A14F9" w:rsidRPr="00A02495" w:rsidRDefault="009A14F9" w:rsidP="00A02495">
            <w:pPr>
              <w:rPr>
                <w:sz w:val="18"/>
                <w:szCs w:val="18"/>
                <w:lang w:eastAsia="hr-HR"/>
              </w:rPr>
            </w:pPr>
            <w:r w:rsidRPr="00A02495">
              <w:rPr>
                <w:sz w:val="18"/>
                <w:szCs w:val="18"/>
                <w:lang w:eastAsia="hr-HR"/>
              </w:rPr>
              <w:t>Izgradnja sustava javne odvodnje Veli Vrh – Šijana EU projekt Pula Centar</w:t>
            </w:r>
          </w:p>
        </w:tc>
        <w:tc>
          <w:tcPr>
            <w:tcW w:w="1298" w:type="dxa"/>
            <w:tcBorders>
              <w:top w:val="single" w:sz="8" w:space="0" w:color="404040" w:themeColor="text1" w:themeTint="BF"/>
            </w:tcBorders>
            <w:shd w:val="clear" w:color="auto" w:fill="auto"/>
            <w:noWrap/>
            <w:vAlign w:val="center"/>
            <w:hideMark/>
          </w:tcPr>
          <w:p w14:paraId="3FFE2B95" w14:textId="77777777" w:rsidR="009A14F9" w:rsidRPr="00A02495" w:rsidRDefault="009A14F9" w:rsidP="00BE0F7F">
            <w:pPr>
              <w:jc w:val="center"/>
              <w:rPr>
                <w:sz w:val="18"/>
                <w:szCs w:val="18"/>
                <w:lang w:eastAsia="hr-HR"/>
              </w:rPr>
            </w:pPr>
            <w:r w:rsidRPr="00A02495">
              <w:rPr>
                <w:sz w:val="18"/>
                <w:szCs w:val="18"/>
                <w:lang w:eastAsia="hr-HR"/>
              </w:rPr>
              <w:t>2.200</w:t>
            </w:r>
          </w:p>
        </w:tc>
      </w:tr>
      <w:tr w:rsidR="009A14F9" w:rsidRPr="00A02495" w14:paraId="2565EB65" w14:textId="77777777" w:rsidTr="005347D5">
        <w:trPr>
          <w:trHeight w:val="397"/>
        </w:trPr>
        <w:tc>
          <w:tcPr>
            <w:tcW w:w="8094" w:type="dxa"/>
            <w:shd w:val="clear" w:color="auto" w:fill="auto"/>
            <w:vAlign w:val="center"/>
            <w:hideMark/>
          </w:tcPr>
          <w:p w14:paraId="27218CD9" w14:textId="77777777" w:rsidR="009A14F9" w:rsidRPr="00A02495" w:rsidRDefault="009A14F9" w:rsidP="00A02495">
            <w:pPr>
              <w:rPr>
                <w:sz w:val="18"/>
                <w:szCs w:val="18"/>
                <w:lang w:eastAsia="hr-HR"/>
              </w:rPr>
            </w:pPr>
            <w:r w:rsidRPr="00A02495">
              <w:rPr>
                <w:sz w:val="18"/>
                <w:szCs w:val="18"/>
                <w:lang w:eastAsia="hr-HR"/>
              </w:rPr>
              <w:t xml:space="preserve">Projektiranje i izgradnja UPOV-a Peroj </w:t>
            </w:r>
          </w:p>
        </w:tc>
        <w:tc>
          <w:tcPr>
            <w:tcW w:w="1298" w:type="dxa"/>
            <w:shd w:val="clear" w:color="auto" w:fill="auto"/>
            <w:noWrap/>
            <w:vAlign w:val="center"/>
            <w:hideMark/>
          </w:tcPr>
          <w:p w14:paraId="4D25276A" w14:textId="77777777" w:rsidR="009A14F9" w:rsidRPr="00A02495" w:rsidRDefault="009A14F9" w:rsidP="00BE0F7F">
            <w:pPr>
              <w:jc w:val="center"/>
              <w:rPr>
                <w:sz w:val="18"/>
                <w:szCs w:val="18"/>
                <w:lang w:eastAsia="hr-HR"/>
              </w:rPr>
            </w:pPr>
            <w:r w:rsidRPr="00A02495">
              <w:rPr>
                <w:sz w:val="18"/>
                <w:szCs w:val="18"/>
                <w:lang w:eastAsia="hr-HR"/>
              </w:rPr>
              <w:t>1.100</w:t>
            </w:r>
          </w:p>
        </w:tc>
      </w:tr>
      <w:tr w:rsidR="009A14F9" w:rsidRPr="00A02495" w14:paraId="3A5C334A" w14:textId="77777777" w:rsidTr="005347D5">
        <w:trPr>
          <w:trHeight w:val="397"/>
        </w:trPr>
        <w:tc>
          <w:tcPr>
            <w:tcW w:w="8094" w:type="dxa"/>
            <w:shd w:val="clear" w:color="auto" w:fill="auto"/>
            <w:vAlign w:val="center"/>
            <w:hideMark/>
          </w:tcPr>
          <w:p w14:paraId="52044C05" w14:textId="77777777" w:rsidR="009A14F9" w:rsidRPr="00A02495" w:rsidRDefault="009A14F9" w:rsidP="00A02495">
            <w:pPr>
              <w:rPr>
                <w:sz w:val="18"/>
                <w:szCs w:val="18"/>
                <w:lang w:eastAsia="hr-HR"/>
              </w:rPr>
            </w:pPr>
            <w:r w:rsidRPr="00A02495">
              <w:rPr>
                <w:sz w:val="18"/>
                <w:szCs w:val="18"/>
                <w:lang w:eastAsia="hr-HR"/>
              </w:rPr>
              <w:t xml:space="preserve">Izgradnja havarijskih ispusta CS Fažana Badel i CS Puntižela </w:t>
            </w:r>
          </w:p>
        </w:tc>
        <w:tc>
          <w:tcPr>
            <w:tcW w:w="1298" w:type="dxa"/>
            <w:shd w:val="clear" w:color="auto" w:fill="auto"/>
            <w:noWrap/>
            <w:vAlign w:val="center"/>
            <w:hideMark/>
          </w:tcPr>
          <w:p w14:paraId="09E53CDA" w14:textId="77777777" w:rsidR="009A14F9" w:rsidRPr="00A02495" w:rsidRDefault="009A14F9" w:rsidP="00BE0F7F">
            <w:pPr>
              <w:jc w:val="center"/>
              <w:rPr>
                <w:sz w:val="18"/>
                <w:szCs w:val="18"/>
                <w:lang w:eastAsia="hr-HR"/>
              </w:rPr>
            </w:pPr>
            <w:r w:rsidRPr="00A02495">
              <w:rPr>
                <w:sz w:val="18"/>
                <w:szCs w:val="18"/>
                <w:lang w:eastAsia="hr-HR"/>
              </w:rPr>
              <w:t>300</w:t>
            </w:r>
          </w:p>
        </w:tc>
      </w:tr>
      <w:tr w:rsidR="009A14F9" w:rsidRPr="00A02495" w14:paraId="325C7847" w14:textId="77777777" w:rsidTr="005347D5">
        <w:trPr>
          <w:trHeight w:val="397"/>
        </w:trPr>
        <w:tc>
          <w:tcPr>
            <w:tcW w:w="8094" w:type="dxa"/>
            <w:shd w:val="clear" w:color="auto" w:fill="auto"/>
            <w:vAlign w:val="center"/>
            <w:hideMark/>
          </w:tcPr>
          <w:p w14:paraId="7E286B48" w14:textId="77777777" w:rsidR="009A14F9" w:rsidRPr="00A02495" w:rsidRDefault="009A14F9" w:rsidP="00A02495">
            <w:pPr>
              <w:rPr>
                <w:sz w:val="18"/>
                <w:szCs w:val="18"/>
                <w:lang w:eastAsia="hr-HR"/>
              </w:rPr>
            </w:pPr>
            <w:r w:rsidRPr="00A02495">
              <w:rPr>
                <w:sz w:val="18"/>
                <w:szCs w:val="18"/>
                <w:lang w:eastAsia="hr-HR"/>
              </w:rPr>
              <w:t>Sustav odvodnje otpadnih voda naselja Štinjan - proširenje sekundarne mreže</w:t>
            </w:r>
          </w:p>
        </w:tc>
        <w:tc>
          <w:tcPr>
            <w:tcW w:w="1298" w:type="dxa"/>
            <w:shd w:val="clear" w:color="auto" w:fill="auto"/>
            <w:noWrap/>
            <w:vAlign w:val="center"/>
            <w:hideMark/>
          </w:tcPr>
          <w:p w14:paraId="6FA89B58" w14:textId="77777777" w:rsidR="009A14F9" w:rsidRPr="00A02495" w:rsidRDefault="009A14F9" w:rsidP="00BE0F7F">
            <w:pPr>
              <w:jc w:val="center"/>
              <w:rPr>
                <w:sz w:val="18"/>
                <w:szCs w:val="18"/>
                <w:lang w:eastAsia="hr-HR"/>
              </w:rPr>
            </w:pPr>
            <w:r w:rsidRPr="00A02495">
              <w:rPr>
                <w:sz w:val="18"/>
                <w:szCs w:val="18"/>
                <w:lang w:eastAsia="hr-HR"/>
              </w:rPr>
              <w:t>253</w:t>
            </w:r>
          </w:p>
        </w:tc>
      </w:tr>
      <w:tr w:rsidR="009A14F9" w:rsidRPr="00A02495" w14:paraId="3573AEB2" w14:textId="77777777" w:rsidTr="005347D5">
        <w:trPr>
          <w:trHeight w:val="397"/>
        </w:trPr>
        <w:tc>
          <w:tcPr>
            <w:tcW w:w="8094" w:type="dxa"/>
            <w:shd w:val="clear" w:color="auto" w:fill="auto"/>
            <w:vAlign w:val="center"/>
            <w:hideMark/>
          </w:tcPr>
          <w:p w14:paraId="207F18A2" w14:textId="77777777" w:rsidR="009A14F9" w:rsidRPr="00A02495" w:rsidRDefault="009A14F9" w:rsidP="00A02495">
            <w:pPr>
              <w:rPr>
                <w:sz w:val="18"/>
                <w:szCs w:val="18"/>
                <w:lang w:eastAsia="hr-HR"/>
              </w:rPr>
            </w:pPr>
            <w:r w:rsidRPr="00A02495">
              <w:rPr>
                <w:sz w:val="18"/>
                <w:szCs w:val="18"/>
                <w:lang w:eastAsia="hr-HR"/>
              </w:rPr>
              <w:t>Radovi na izgradnji cjevovoda za vodu i kanalizaciju - izgradnja sanitarne odvodnje dijela naselja Valmade - Monte Šerpo - kanali VMŠ-K-38 i VMŠ-K-39</w:t>
            </w:r>
          </w:p>
        </w:tc>
        <w:tc>
          <w:tcPr>
            <w:tcW w:w="1298" w:type="dxa"/>
            <w:shd w:val="clear" w:color="auto" w:fill="auto"/>
            <w:noWrap/>
            <w:vAlign w:val="center"/>
            <w:hideMark/>
          </w:tcPr>
          <w:p w14:paraId="46E0B45A" w14:textId="77777777" w:rsidR="009A14F9" w:rsidRPr="00A02495" w:rsidRDefault="009A14F9" w:rsidP="00BE0F7F">
            <w:pPr>
              <w:jc w:val="center"/>
              <w:rPr>
                <w:sz w:val="18"/>
                <w:szCs w:val="18"/>
                <w:lang w:eastAsia="hr-HR"/>
              </w:rPr>
            </w:pPr>
            <w:r w:rsidRPr="00A02495">
              <w:rPr>
                <w:sz w:val="18"/>
                <w:szCs w:val="18"/>
                <w:lang w:eastAsia="hr-HR"/>
              </w:rPr>
              <w:t>198</w:t>
            </w:r>
          </w:p>
        </w:tc>
      </w:tr>
      <w:tr w:rsidR="009A14F9" w:rsidRPr="00A02495" w14:paraId="6CFC683D" w14:textId="77777777" w:rsidTr="005347D5">
        <w:trPr>
          <w:trHeight w:val="397"/>
        </w:trPr>
        <w:tc>
          <w:tcPr>
            <w:tcW w:w="8094" w:type="dxa"/>
            <w:shd w:val="clear" w:color="auto" w:fill="auto"/>
            <w:vAlign w:val="center"/>
            <w:hideMark/>
          </w:tcPr>
          <w:p w14:paraId="3201BFE0" w14:textId="77777777" w:rsidR="009A14F9" w:rsidRPr="00A02495" w:rsidRDefault="009A14F9" w:rsidP="00A02495">
            <w:pPr>
              <w:rPr>
                <w:sz w:val="18"/>
                <w:szCs w:val="18"/>
                <w:lang w:eastAsia="hr-HR"/>
              </w:rPr>
            </w:pPr>
            <w:r w:rsidRPr="00A02495">
              <w:rPr>
                <w:sz w:val="18"/>
                <w:szCs w:val="18"/>
                <w:lang w:eastAsia="hr-HR"/>
              </w:rPr>
              <w:t>Izvođenje radova na rekonstrukciji zidanog kanala Pragradne uz zgradu glavne Pošte</w:t>
            </w:r>
          </w:p>
        </w:tc>
        <w:tc>
          <w:tcPr>
            <w:tcW w:w="1298" w:type="dxa"/>
            <w:shd w:val="clear" w:color="auto" w:fill="auto"/>
            <w:noWrap/>
            <w:vAlign w:val="center"/>
            <w:hideMark/>
          </w:tcPr>
          <w:p w14:paraId="082ACCB8" w14:textId="77777777" w:rsidR="009A14F9" w:rsidRPr="00A02495" w:rsidRDefault="009A14F9" w:rsidP="00BE0F7F">
            <w:pPr>
              <w:jc w:val="center"/>
              <w:rPr>
                <w:sz w:val="18"/>
                <w:szCs w:val="18"/>
                <w:lang w:eastAsia="hr-HR"/>
              </w:rPr>
            </w:pPr>
            <w:r w:rsidRPr="00A02495">
              <w:rPr>
                <w:sz w:val="18"/>
                <w:szCs w:val="18"/>
                <w:lang w:eastAsia="hr-HR"/>
              </w:rPr>
              <w:t>155</w:t>
            </w:r>
          </w:p>
        </w:tc>
      </w:tr>
      <w:tr w:rsidR="009A14F9" w:rsidRPr="00A02495" w14:paraId="0A10D718" w14:textId="77777777" w:rsidTr="005347D5">
        <w:trPr>
          <w:trHeight w:val="397"/>
        </w:trPr>
        <w:tc>
          <w:tcPr>
            <w:tcW w:w="8094" w:type="dxa"/>
            <w:shd w:val="clear" w:color="auto" w:fill="auto"/>
            <w:vAlign w:val="center"/>
            <w:hideMark/>
          </w:tcPr>
          <w:p w14:paraId="2A37CB3F" w14:textId="77777777" w:rsidR="009A14F9" w:rsidRPr="00A02495" w:rsidRDefault="009A14F9" w:rsidP="00A02495">
            <w:pPr>
              <w:rPr>
                <w:sz w:val="18"/>
                <w:szCs w:val="18"/>
                <w:lang w:eastAsia="hr-HR"/>
              </w:rPr>
            </w:pPr>
            <w:r w:rsidRPr="00A02495">
              <w:rPr>
                <w:sz w:val="18"/>
                <w:szCs w:val="18"/>
                <w:lang w:eastAsia="hr-HR"/>
              </w:rPr>
              <w:t>Aglomeracija Pula Sjever - novelacija dokumentacije, imovinsko pravni poslovi, izdaci za plaće osoblja, nadzor radova</w:t>
            </w:r>
          </w:p>
        </w:tc>
        <w:tc>
          <w:tcPr>
            <w:tcW w:w="1298" w:type="dxa"/>
            <w:shd w:val="clear" w:color="auto" w:fill="auto"/>
            <w:noWrap/>
            <w:vAlign w:val="center"/>
            <w:hideMark/>
          </w:tcPr>
          <w:p w14:paraId="397CF6B2" w14:textId="77777777" w:rsidR="009A14F9" w:rsidRPr="00A02495" w:rsidRDefault="009A14F9" w:rsidP="00BE0F7F">
            <w:pPr>
              <w:jc w:val="center"/>
              <w:rPr>
                <w:sz w:val="18"/>
                <w:szCs w:val="18"/>
                <w:lang w:eastAsia="hr-HR"/>
              </w:rPr>
            </w:pPr>
            <w:r w:rsidRPr="00A02495">
              <w:rPr>
                <w:sz w:val="18"/>
                <w:szCs w:val="18"/>
                <w:lang w:eastAsia="hr-HR"/>
              </w:rPr>
              <w:t>128</w:t>
            </w:r>
          </w:p>
        </w:tc>
      </w:tr>
      <w:tr w:rsidR="009A14F9" w:rsidRPr="00A02495" w14:paraId="4EFD65D3" w14:textId="77777777" w:rsidTr="005347D5">
        <w:trPr>
          <w:trHeight w:val="397"/>
        </w:trPr>
        <w:tc>
          <w:tcPr>
            <w:tcW w:w="8094" w:type="dxa"/>
            <w:shd w:val="clear" w:color="auto" w:fill="auto"/>
            <w:vAlign w:val="center"/>
            <w:hideMark/>
          </w:tcPr>
          <w:p w14:paraId="431871AF" w14:textId="77777777" w:rsidR="009A14F9" w:rsidRPr="00A02495" w:rsidRDefault="009A14F9" w:rsidP="00A02495">
            <w:pPr>
              <w:rPr>
                <w:sz w:val="18"/>
                <w:szCs w:val="18"/>
                <w:lang w:eastAsia="hr-HR"/>
              </w:rPr>
            </w:pPr>
            <w:r w:rsidRPr="00A02495">
              <w:rPr>
                <w:sz w:val="18"/>
                <w:szCs w:val="18"/>
                <w:lang w:eastAsia="hr-HR"/>
              </w:rPr>
              <w:t>Tlačni vod crpne stanice AC Stoja (ugovor o financiranju)</w:t>
            </w:r>
          </w:p>
        </w:tc>
        <w:tc>
          <w:tcPr>
            <w:tcW w:w="1298" w:type="dxa"/>
            <w:shd w:val="clear" w:color="auto" w:fill="auto"/>
            <w:noWrap/>
            <w:vAlign w:val="center"/>
            <w:hideMark/>
          </w:tcPr>
          <w:p w14:paraId="1BCE28BC" w14:textId="77777777" w:rsidR="009A14F9" w:rsidRPr="00A02495" w:rsidRDefault="009A14F9" w:rsidP="00BE0F7F">
            <w:pPr>
              <w:jc w:val="center"/>
              <w:rPr>
                <w:sz w:val="18"/>
                <w:szCs w:val="18"/>
                <w:lang w:eastAsia="hr-HR"/>
              </w:rPr>
            </w:pPr>
            <w:r w:rsidRPr="00A02495">
              <w:rPr>
                <w:sz w:val="18"/>
                <w:szCs w:val="18"/>
                <w:lang w:eastAsia="hr-HR"/>
              </w:rPr>
              <w:t>108</w:t>
            </w:r>
          </w:p>
        </w:tc>
      </w:tr>
      <w:tr w:rsidR="009A14F9" w:rsidRPr="00A02495" w14:paraId="54A4CD32" w14:textId="77777777" w:rsidTr="005347D5">
        <w:trPr>
          <w:trHeight w:val="397"/>
        </w:trPr>
        <w:tc>
          <w:tcPr>
            <w:tcW w:w="8094" w:type="dxa"/>
            <w:shd w:val="clear" w:color="auto" w:fill="auto"/>
            <w:vAlign w:val="center"/>
            <w:hideMark/>
          </w:tcPr>
          <w:p w14:paraId="6A382BF6" w14:textId="77777777" w:rsidR="009A14F9" w:rsidRPr="00A02495" w:rsidRDefault="009A14F9" w:rsidP="00A02495">
            <w:pPr>
              <w:rPr>
                <w:sz w:val="18"/>
                <w:szCs w:val="18"/>
                <w:lang w:eastAsia="hr-HR"/>
              </w:rPr>
            </w:pPr>
            <w:r w:rsidRPr="00A02495">
              <w:rPr>
                <w:sz w:val="18"/>
                <w:szCs w:val="18"/>
                <w:lang w:eastAsia="hr-HR"/>
              </w:rPr>
              <w:t>Rekonstrukcija mješovite kanalizacije u Valturskoj ulici u Puli</w:t>
            </w:r>
          </w:p>
        </w:tc>
        <w:tc>
          <w:tcPr>
            <w:tcW w:w="1298" w:type="dxa"/>
            <w:shd w:val="clear" w:color="auto" w:fill="auto"/>
            <w:noWrap/>
            <w:vAlign w:val="center"/>
            <w:hideMark/>
          </w:tcPr>
          <w:p w14:paraId="07FB742E" w14:textId="77777777" w:rsidR="009A14F9" w:rsidRPr="00A02495" w:rsidRDefault="009A14F9" w:rsidP="00BE0F7F">
            <w:pPr>
              <w:jc w:val="center"/>
              <w:rPr>
                <w:sz w:val="18"/>
                <w:szCs w:val="18"/>
                <w:lang w:eastAsia="hr-HR"/>
              </w:rPr>
            </w:pPr>
            <w:r w:rsidRPr="00A02495">
              <w:rPr>
                <w:sz w:val="18"/>
                <w:szCs w:val="18"/>
                <w:lang w:eastAsia="hr-HR"/>
              </w:rPr>
              <w:t>70</w:t>
            </w:r>
          </w:p>
        </w:tc>
      </w:tr>
      <w:tr w:rsidR="009A14F9" w:rsidRPr="00A02495" w14:paraId="78A58690" w14:textId="77777777" w:rsidTr="005347D5">
        <w:trPr>
          <w:trHeight w:val="397"/>
        </w:trPr>
        <w:tc>
          <w:tcPr>
            <w:tcW w:w="8094" w:type="dxa"/>
            <w:shd w:val="clear" w:color="auto" w:fill="auto"/>
            <w:vAlign w:val="center"/>
            <w:hideMark/>
          </w:tcPr>
          <w:p w14:paraId="5160D1C0" w14:textId="77777777" w:rsidR="009A14F9" w:rsidRPr="00A02495" w:rsidRDefault="009A14F9" w:rsidP="00A02495">
            <w:pPr>
              <w:rPr>
                <w:sz w:val="18"/>
                <w:szCs w:val="18"/>
                <w:lang w:eastAsia="hr-HR"/>
              </w:rPr>
            </w:pPr>
            <w:r w:rsidRPr="00A02495">
              <w:rPr>
                <w:sz w:val="18"/>
                <w:szCs w:val="18"/>
                <w:lang w:eastAsia="hr-HR"/>
              </w:rPr>
              <w:t xml:space="preserve">Rekonstrukcija C.S. Valseline          </w:t>
            </w:r>
          </w:p>
        </w:tc>
        <w:tc>
          <w:tcPr>
            <w:tcW w:w="1298" w:type="dxa"/>
            <w:shd w:val="clear" w:color="auto" w:fill="auto"/>
            <w:noWrap/>
            <w:vAlign w:val="center"/>
            <w:hideMark/>
          </w:tcPr>
          <w:p w14:paraId="0A5BA3BF" w14:textId="77777777" w:rsidR="009A14F9" w:rsidRPr="00A02495" w:rsidRDefault="009A14F9" w:rsidP="00BE0F7F">
            <w:pPr>
              <w:jc w:val="center"/>
              <w:rPr>
                <w:sz w:val="18"/>
                <w:szCs w:val="18"/>
                <w:lang w:eastAsia="hr-HR"/>
              </w:rPr>
            </w:pPr>
            <w:r w:rsidRPr="00A02495">
              <w:rPr>
                <w:sz w:val="18"/>
                <w:szCs w:val="18"/>
                <w:lang w:eastAsia="hr-HR"/>
              </w:rPr>
              <w:t>67</w:t>
            </w:r>
          </w:p>
        </w:tc>
      </w:tr>
      <w:tr w:rsidR="009A14F9" w:rsidRPr="00A02495" w14:paraId="712C8BBC" w14:textId="77777777" w:rsidTr="005347D5">
        <w:trPr>
          <w:trHeight w:val="397"/>
        </w:trPr>
        <w:tc>
          <w:tcPr>
            <w:tcW w:w="8094" w:type="dxa"/>
            <w:shd w:val="clear" w:color="auto" w:fill="auto"/>
            <w:vAlign w:val="center"/>
            <w:hideMark/>
          </w:tcPr>
          <w:p w14:paraId="01283AA7" w14:textId="77777777" w:rsidR="009A14F9" w:rsidRPr="00A02495" w:rsidRDefault="009A14F9" w:rsidP="00A02495">
            <w:pPr>
              <w:rPr>
                <w:sz w:val="18"/>
                <w:szCs w:val="18"/>
                <w:lang w:eastAsia="hr-HR"/>
              </w:rPr>
            </w:pPr>
            <w:r w:rsidRPr="00A02495">
              <w:rPr>
                <w:sz w:val="18"/>
                <w:szCs w:val="18"/>
                <w:lang w:eastAsia="hr-HR"/>
              </w:rPr>
              <w:t>Sanitarni kolektor unutar naselja Štinjan (ugovor o financiranju)</w:t>
            </w:r>
          </w:p>
        </w:tc>
        <w:tc>
          <w:tcPr>
            <w:tcW w:w="1298" w:type="dxa"/>
            <w:shd w:val="clear" w:color="auto" w:fill="auto"/>
            <w:noWrap/>
            <w:vAlign w:val="center"/>
            <w:hideMark/>
          </w:tcPr>
          <w:p w14:paraId="7F5EC15A" w14:textId="77777777" w:rsidR="009A14F9" w:rsidRPr="00A02495" w:rsidRDefault="009A14F9" w:rsidP="00BE0F7F">
            <w:pPr>
              <w:jc w:val="center"/>
              <w:rPr>
                <w:sz w:val="18"/>
                <w:szCs w:val="18"/>
                <w:lang w:eastAsia="hr-HR"/>
              </w:rPr>
            </w:pPr>
            <w:r w:rsidRPr="00A02495">
              <w:rPr>
                <w:sz w:val="18"/>
                <w:szCs w:val="18"/>
                <w:lang w:eastAsia="hr-HR"/>
              </w:rPr>
              <w:t>64</w:t>
            </w:r>
          </w:p>
        </w:tc>
      </w:tr>
      <w:tr w:rsidR="009A14F9" w:rsidRPr="00A02495" w14:paraId="6BE149CD" w14:textId="77777777" w:rsidTr="005347D5">
        <w:trPr>
          <w:trHeight w:val="397"/>
        </w:trPr>
        <w:tc>
          <w:tcPr>
            <w:tcW w:w="8094" w:type="dxa"/>
            <w:shd w:val="clear" w:color="auto" w:fill="auto"/>
            <w:vAlign w:val="center"/>
            <w:hideMark/>
          </w:tcPr>
          <w:p w14:paraId="54F9A235" w14:textId="77777777" w:rsidR="009A14F9" w:rsidRPr="00A02495" w:rsidRDefault="009A14F9" w:rsidP="00A02495">
            <w:pPr>
              <w:rPr>
                <w:sz w:val="18"/>
                <w:szCs w:val="18"/>
                <w:lang w:eastAsia="hr-HR"/>
              </w:rPr>
            </w:pPr>
            <w:r w:rsidRPr="00A02495">
              <w:rPr>
                <w:sz w:val="18"/>
                <w:szCs w:val="18"/>
                <w:lang w:eastAsia="hr-HR"/>
              </w:rPr>
              <w:t>Izgradnja fekalne odvodnje Tršćanska ulica u Puli D66 D75 L=561m</w:t>
            </w:r>
          </w:p>
        </w:tc>
        <w:tc>
          <w:tcPr>
            <w:tcW w:w="1298" w:type="dxa"/>
            <w:shd w:val="clear" w:color="auto" w:fill="auto"/>
            <w:noWrap/>
            <w:vAlign w:val="center"/>
            <w:hideMark/>
          </w:tcPr>
          <w:p w14:paraId="07D0AF49" w14:textId="77777777" w:rsidR="009A14F9" w:rsidRPr="00A02495" w:rsidRDefault="009A14F9" w:rsidP="00BE0F7F">
            <w:pPr>
              <w:jc w:val="center"/>
              <w:rPr>
                <w:sz w:val="18"/>
                <w:szCs w:val="18"/>
                <w:lang w:eastAsia="hr-HR"/>
              </w:rPr>
            </w:pPr>
            <w:r w:rsidRPr="00A02495">
              <w:rPr>
                <w:sz w:val="18"/>
                <w:szCs w:val="18"/>
                <w:lang w:eastAsia="hr-HR"/>
              </w:rPr>
              <w:t>57</w:t>
            </w:r>
          </w:p>
        </w:tc>
      </w:tr>
      <w:tr w:rsidR="009A14F9" w:rsidRPr="00A02495" w14:paraId="688D0958" w14:textId="77777777" w:rsidTr="005347D5">
        <w:trPr>
          <w:trHeight w:val="397"/>
        </w:trPr>
        <w:tc>
          <w:tcPr>
            <w:tcW w:w="8094" w:type="dxa"/>
            <w:shd w:val="clear" w:color="auto" w:fill="auto"/>
            <w:vAlign w:val="center"/>
            <w:hideMark/>
          </w:tcPr>
          <w:p w14:paraId="3CD925D9" w14:textId="29EBCF8B" w:rsidR="009A14F9" w:rsidRPr="00A02495" w:rsidRDefault="009A14F9" w:rsidP="00A02495">
            <w:pPr>
              <w:rPr>
                <w:sz w:val="18"/>
                <w:szCs w:val="18"/>
                <w:lang w:eastAsia="hr-HR"/>
              </w:rPr>
            </w:pPr>
            <w:r w:rsidRPr="00A02495">
              <w:rPr>
                <w:sz w:val="18"/>
                <w:szCs w:val="18"/>
                <w:lang w:eastAsia="hr-HR"/>
              </w:rPr>
              <w:t xml:space="preserve">Mutilska ulica </w:t>
            </w:r>
            <w:r w:rsidR="00372697">
              <w:rPr>
                <w:sz w:val="18"/>
                <w:szCs w:val="18"/>
                <w:lang w:eastAsia="hr-HR"/>
              </w:rPr>
              <w:t xml:space="preserve">- </w:t>
            </w:r>
            <w:r w:rsidRPr="00A02495">
              <w:rPr>
                <w:sz w:val="18"/>
                <w:szCs w:val="18"/>
                <w:lang w:eastAsia="hr-HR"/>
              </w:rPr>
              <w:t xml:space="preserve">održavanje mješovitog kolektora                 </w:t>
            </w:r>
          </w:p>
        </w:tc>
        <w:tc>
          <w:tcPr>
            <w:tcW w:w="1298" w:type="dxa"/>
            <w:shd w:val="clear" w:color="auto" w:fill="auto"/>
            <w:noWrap/>
            <w:vAlign w:val="center"/>
            <w:hideMark/>
          </w:tcPr>
          <w:p w14:paraId="718DD0B8" w14:textId="77777777" w:rsidR="009A14F9" w:rsidRPr="00A02495" w:rsidRDefault="009A14F9" w:rsidP="00BE0F7F">
            <w:pPr>
              <w:jc w:val="center"/>
              <w:rPr>
                <w:sz w:val="18"/>
                <w:szCs w:val="18"/>
                <w:lang w:eastAsia="hr-HR"/>
              </w:rPr>
            </w:pPr>
            <w:r w:rsidRPr="00A02495">
              <w:rPr>
                <w:sz w:val="18"/>
                <w:szCs w:val="18"/>
                <w:lang w:eastAsia="hr-HR"/>
              </w:rPr>
              <w:t>55</w:t>
            </w:r>
          </w:p>
        </w:tc>
      </w:tr>
      <w:tr w:rsidR="009A14F9" w:rsidRPr="00A02495" w14:paraId="2BF4D54A" w14:textId="77777777" w:rsidTr="005347D5">
        <w:trPr>
          <w:trHeight w:val="397"/>
        </w:trPr>
        <w:tc>
          <w:tcPr>
            <w:tcW w:w="8094" w:type="dxa"/>
            <w:shd w:val="clear" w:color="auto" w:fill="auto"/>
            <w:vAlign w:val="center"/>
            <w:hideMark/>
          </w:tcPr>
          <w:p w14:paraId="05AC6165" w14:textId="77777777" w:rsidR="009A14F9" w:rsidRPr="00A02495" w:rsidRDefault="009A14F9" w:rsidP="00A02495">
            <w:pPr>
              <w:rPr>
                <w:sz w:val="18"/>
                <w:szCs w:val="18"/>
                <w:lang w:eastAsia="hr-HR"/>
              </w:rPr>
            </w:pPr>
            <w:r w:rsidRPr="00A02495">
              <w:rPr>
                <w:sz w:val="18"/>
                <w:szCs w:val="18"/>
                <w:lang w:eastAsia="hr-HR"/>
              </w:rPr>
              <w:t xml:space="preserve">Izvođenje radova na sanaciji sanitarne odvodnje u Tršćanskoj ul.-krak prema k.br. 24                    </w:t>
            </w:r>
          </w:p>
        </w:tc>
        <w:tc>
          <w:tcPr>
            <w:tcW w:w="1298" w:type="dxa"/>
            <w:shd w:val="clear" w:color="auto" w:fill="auto"/>
            <w:noWrap/>
            <w:vAlign w:val="center"/>
            <w:hideMark/>
          </w:tcPr>
          <w:p w14:paraId="41210CCC" w14:textId="77777777" w:rsidR="009A14F9" w:rsidRPr="00A02495" w:rsidRDefault="009A14F9" w:rsidP="00BE0F7F">
            <w:pPr>
              <w:jc w:val="center"/>
              <w:rPr>
                <w:sz w:val="18"/>
                <w:szCs w:val="18"/>
                <w:lang w:eastAsia="hr-HR"/>
              </w:rPr>
            </w:pPr>
            <w:r w:rsidRPr="00A02495">
              <w:rPr>
                <w:sz w:val="18"/>
                <w:szCs w:val="18"/>
                <w:lang w:eastAsia="hr-HR"/>
              </w:rPr>
              <w:t>41</w:t>
            </w:r>
          </w:p>
        </w:tc>
      </w:tr>
    </w:tbl>
    <w:p w14:paraId="478A2771" w14:textId="77777777" w:rsidR="009A14F9" w:rsidRPr="009013E3" w:rsidRDefault="009A14F9" w:rsidP="00A02495">
      <w:pPr>
        <w:rPr>
          <w:highlight w:val="green"/>
        </w:rPr>
      </w:pPr>
    </w:p>
    <w:p w14:paraId="3E7CDDEE" w14:textId="7CDDC578" w:rsidR="00872968" w:rsidRDefault="00872968" w:rsidP="00973FDC">
      <w:pPr>
        <w:spacing w:after="240"/>
      </w:pPr>
      <w:r w:rsidRPr="00855013">
        <w:lastRenderedPageBreak/>
        <w:t xml:space="preserve">Ulaganje u izgradnju i rekonstrukciju mreže </w:t>
      </w:r>
      <w:r w:rsidR="007E7ABF">
        <w:t xml:space="preserve">odvodnje </w:t>
      </w:r>
      <w:r w:rsidRPr="00855013">
        <w:t>po jedinicama lokalne samouprave iznosi kako slijedi</w:t>
      </w:r>
      <w:r>
        <w:rPr>
          <w:rStyle w:val="Referencafusnote"/>
        </w:rPr>
        <w:footnoteReference w:id="3"/>
      </w:r>
      <w:r w:rsidRPr="00855013">
        <w:t>:</w:t>
      </w:r>
    </w:p>
    <w:tbl>
      <w:tblPr>
        <w:tblW w:w="8599" w:type="dxa"/>
        <w:tblInd w:w="93" w:type="dxa"/>
        <w:tblBorders>
          <w:top w:val="single" w:sz="4" w:space="0" w:color="BFBFBF" w:themeColor="background1" w:themeShade="BF"/>
          <w:bottom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4343"/>
        <w:gridCol w:w="256"/>
        <w:gridCol w:w="2000"/>
        <w:gridCol w:w="2000"/>
      </w:tblGrid>
      <w:tr w:rsidR="007E7ABF" w:rsidRPr="00855013" w14:paraId="271CB051" w14:textId="4A28C979" w:rsidTr="007E7ABF">
        <w:trPr>
          <w:trHeight w:val="315"/>
        </w:trPr>
        <w:tc>
          <w:tcPr>
            <w:tcW w:w="4599" w:type="dxa"/>
            <w:gridSpan w:val="2"/>
            <w:tcBorders>
              <w:top w:val="single" w:sz="8" w:space="0" w:color="404040" w:themeColor="text1" w:themeTint="BF"/>
              <w:bottom w:val="single" w:sz="8" w:space="0" w:color="404040" w:themeColor="text1" w:themeTint="BF"/>
            </w:tcBorders>
            <w:shd w:val="clear" w:color="auto" w:fill="BFBFBF" w:themeFill="background1" w:themeFillShade="BF"/>
            <w:noWrap/>
            <w:vAlign w:val="center"/>
            <w:hideMark/>
          </w:tcPr>
          <w:p w14:paraId="6118609E" w14:textId="77777777" w:rsidR="007E7ABF" w:rsidRPr="00855013" w:rsidRDefault="007E7ABF" w:rsidP="00B11F30">
            <w:pPr>
              <w:jc w:val="left"/>
              <w:rPr>
                <w:b/>
                <w:bCs/>
                <w:sz w:val="18"/>
                <w:szCs w:val="18"/>
                <w:lang w:eastAsia="hr-HR"/>
              </w:rPr>
            </w:pPr>
            <w:r w:rsidRPr="00855013">
              <w:rPr>
                <w:b/>
                <w:bCs/>
                <w:sz w:val="18"/>
                <w:szCs w:val="18"/>
                <w:lang w:eastAsia="hr-HR"/>
              </w:rPr>
              <w:t>Gradovi/općine</w:t>
            </w:r>
          </w:p>
        </w:tc>
        <w:tc>
          <w:tcPr>
            <w:tcW w:w="2000" w:type="dxa"/>
            <w:tcBorders>
              <w:top w:val="single" w:sz="8" w:space="0" w:color="404040" w:themeColor="text1" w:themeTint="BF"/>
              <w:bottom w:val="single" w:sz="8" w:space="0" w:color="404040" w:themeColor="text1" w:themeTint="BF"/>
            </w:tcBorders>
            <w:shd w:val="clear" w:color="auto" w:fill="BFBFBF" w:themeFill="background1" w:themeFillShade="BF"/>
            <w:noWrap/>
            <w:vAlign w:val="center"/>
            <w:hideMark/>
          </w:tcPr>
          <w:p w14:paraId="7F3F82F5" w14:textId="77777777" w:rsidR="007E7ABF" w:rsidRDefault="007E7ABF" w:rsidP="00B11F30">
            <w:pPr>
              <w:jc w:val="center"/>
              <w:rPr>
                <w:b/>
                <w:bCs/>
                <w:sz w:val="18"/>
                <w:szCs w:val="18"/>
                <w:lang w:eastAsia="hr-HR"/>
              </w:rPr>
            </w:pPr>
            <w:r w:rsidRPr="00855013">
              <w:rPr>
                <w:b/>
                <w:bCs/>
                <w:sz w:val="18"/>
                <w:szCs w:val="18"/>
                <w:lang w:eastAsia="hr-HR"/>
              </w:rPr>
              <w:t xml:space="preserve">Iznos </w:t>
            </w:r>
          </w:p>
          <w:p w14:paraId="428FF0FB" w14:textId="77777777" w:rsidR="007E7ABF" w:rsidRPr="00855013" w:rsidRDefault="007E7ABF" w:rsidP="00B11F30">
            <w:pPr>
              <w:jc w:val="center"/>
              <w:rPr>
                <w:b/>
                <w:bCs/>
                <w:sz w:val="18"/>
                <w:szCs w:val="18"/>
                <w:lang w:eastAsia="hr-HR"/>
              </w:rPr>
            </w:pPr>
            <w:r>
              <w:rPr>
                <w:b/>
                <w:bCs/>
                <w:sz w:val="18"/>
                <w:szCs w:val="18"/>
                <w:lang w:eastAsia="hr-HR"/>
              </w:rPr>
              <w:t>(</w:t>
            </w:r>
            <w:r w:rsidRPr="00855013">
              <w:rPr>
                <w:b/>
                <w:bCs/>
                <w:sz w:val="18"/>
                <w:szCs w:val="18"/>
                <w:lang w:eastAsia="hr-HR"/>
              </w:rPr>
              <w:t>u eurima</w:t>
            </w:r>
            <w:r>
              <w:rPr>
                <w:b/>
                <w:bCs/>
                <w:sz w:val="18"/>
                <w:szCs w:val="18"/>
                <w:lang w:eastAsia="hr-HR"/>
              </w:rPr>
              <w:t>)</w:t>
            </w:r>
          </w:p>
        </w:tc>
        <w:tc>
          <w:tcPr>
            <w:tcW w:w="2000" w:type="dxa"/>
            <w:tcBorders>
              <w:top w:val="single" w:sz="8" w:space="0" w:color="404040" w:themeColor="text1" w:themeTint="BF"/>
              <w:bottom w:val="single" w:sz="8" w:space="0" w:color="404040" w:themeColor="text1" w:themeTint="BF"/>
            </w:tcBorders>
            <w:shd w:val="clear" w:color="auto" w:fill="BFBFBF" w:themeFill="background1" w:themeFillShade="BF"/>
          </w:tcPr>
          <w:p w14:paraId="4727BC79" w14:textId="77777777" w:rsidR="007E7ABF" w:rsidRDefault="007E7ABF" w:rsidP="00B11F30">
            <w:pPr>
              <w:jc w:val="center"/>
              <w:rPr>
                <w:b/>
                <w:bCs/>
                <w:sz w:val="18"/>
                <w:szCs w:val="18"/>
                <w:lang w:eastAsia="hr-HR"/>
              </w:rPr>
            </w:pPr>
            <w:r>
              <w:rPr>
                <w:b/>
                <w:bCs/>
                <w:sz w:val="18"/>
                <w:szCs w:val="18"/>
                <w:lang w:eastAsia="hr-HR"/>
              </w:rPr>
              <w:t xml:space="preserve">Udio </w:t>
            </w:r>
          </w:p>
          <w:p w14:paraId="19C5F350" w14:textId="0B9DFE0C" w:rsidR="007E7ABF" w:rsidRPr="00855013" w:rsidRDefault="007E7ABF" w:rsidP="00B11F30">
            <w:pPr>
              <w:jc w:val="center"/>
              <w:rPr>
                <w:b/>
                <w:bCs/>
                <w:sz w:val="18"/>
                <w:szCs w:val="18"/>
                <w:lang w:eastAsia="hr-HR"/>
              </w:rPr>
            </w:pPr>
            <w:r>
              <w:rPr>
                <w:b/>
                <w:bCs/>
                <w:sz w:val="18"/>
                <w:szCs w:val="18"/>
                <w:lang w:eastAsia="hr-HR"/>
              </w:rPr>
              <w:t>(%)</w:t>
            </w:r>
          </w:p>
        </w:tc>
      </w:tr>
      <w:tr w:rsidR="007E7ABF" w:rsidRPr="00855013" w14:paraId="3F94665A" w14:textId="5A13FB0F" w:rsidTr="007E7ABF">
        <w:trPr>
          <w:trHeight w:val="340"/>
        </w:trPr>
        <w:tc>
          <w:tcPr>
            <w:tcW w:w="4343" w:type="dxa"/>
            <w:tcBorders>
              <w:top w:val="single" w:sz="8" w:space="0" w:color="404040" w:themeColor="text1" w:themeTint="BF"/>
            </w:tcBorders>
            <w:shd w:val="clear" w:color="auto" w:fill="auto"/>
            <w:noWrap/>
            <w:vAlign w:val="center"/>
            <w:hideMark/>
          </w:tcPr>
          <w:p w14:paraId="12A4D2D1" w14:textId="77777777" w:rsidR="007E7ABF" w:rsidRPr="00855013" w:rsidRDefault="007E7ABF" w:rsidP="00B11F30">
            <w:pPr>
              <w:jc w:val="left"/>
              <w:rPr>
                <w:sz w:val="18"/>
                <w:szCs w:val="18"/>
                <w:lang w:eastAsia="hr-HR"/>
              </w:rPr>
            </w:pPr>
            <w:r w:rsidRPr="00855013">
              <w:rPr>
                <w:sz w:val="18"/>
                <w:szCs w:val="18"/>
                <w:lang w:eastAsia="hr-HR"/>
              </w:rPr>
              <w:t>Grad Pula</w:t>
            </w:r>
          </w:p>
        </w:tc>
        <w:tc>
          <w:tcPr>
            <w:tcW w:w="256" w:type="dxa"/>
            <w:tcBorders>
              <w:top w:val="single" w:sz="8" w:space="0" w:color="404040" w:themeColor="text1" w:themeTint="BF"/>
            </w:tcBorders>
            <w:shd w:val="clear" w:color="auto" w:fill="auto"/>
            <w:noWrap/>
            <w:vAlign w:val="bottom"/>
            <w:hideMark/>
          </w:tcPr>
          <w:p w14:paraId="58386907" w14:textId="77777777" w:rsidR="007E7ABF" w:rsidRPr="00855013" w:rsidRDefault="007E7ABF" w:rsidP="00B11F30">
            <w:pPr>
              <w:rPr>
                <w:sz w:val="18"/>
                <w:szCs w:val="18"/>
                <w:lang w:eastAsia="hr-HR"/>
              </w:rPr>
            </w:pPr>
          </w:p>
        </w:tc>
        <w:tc>
          <w:tcPr>
            <w:tcW w:w="2000" w:type="dxa"/>
            <w:tcBorders>
              <w:top w:val="single" w:sz="8" w:space="0" w:color="404040" w:themeColor="text1" w:themeTint="BF"/>
            </w:tcBorders>
            <w:shd w:val="clear" w:color="auto" w:fill="auto"/>
            <w:noWrap/>
            <w:vAlign w:val="center"/>
          </w:tcPr>
          <w:p w14:paraId="072207DD" w14:textId="486EF6B0" w:rsidR="007E7ABF" w:rsidRPr="00855013" w:rsidRDefault="007E7ABF" w:rsidP="00B11F30">
            <w:pPr>
              <w:jc w:val="right"/>
              <w:rPr>
                <w:sz w:val="18"/>
                <w:szCs w:val="18"/>
                <w:lang w:eastAsia="hr-HR"/>
              </w:rPr>
            </w:pPr>
            <w:r w:rsidRPr="00872968">
              <w:rPr>
                <w:sz w:val="18"/>
                <w:szCs w:val="18"/>
                <w:lang w:eastAsia="hr-HR"/>
              </w:rPr>
              <w:t>3.407.573</w:t>
            </w:r>
          </w:p>
        </w:tc>
        <w:tc>
          <w:tcPr>
            <w:tcW w:w="2000" w:type="dxa"/>
            <w:tcBorders>
              <w:top w:val="single" w:sz="8" w:space="0" w:color="404040" w:themeColor="text1" w:themeTint="BF"/>
            </w:tcBorders>
            <w:vAlign w:val="center"/>
          </w:tcPr>
          <w:p w14:paraId="4B9354BA" w14:textId="4CCDDD68" w:rsidR="007E7ABF" w:rsidRPr="00872968" w:rsidRDefault="007E7ABF" w:rsidP="007E7ABF">
            <w:pPr>
              <w:jc w:val="center"/>
              <w:rPr>
                <w:sz w:val="18"/>
                <w:szCs w:val="18"/>
                <w:lang w:eastAsia="hr-HR"/>
              </w:rPr>
            </w:pPr>
            <w:r>
              <w:rPr>
                <w:sz w:val="18"/>
                <w:szCs w:val="18"/>
                <w:lang w:eastAsia="hr-HR"/>
              </w:rPr>
              <w:t>69%</w:t>
            </w:r>
          </w:p>
        </w:tc>
      </w:tr>
      <w:tr w:rsidR="007E7ABF" w:rsidRPr="00855013" w14:paraId="4C122E21" w14:textId="6E263B16" w:rsidTr="007E7ABF">
        <w:trPr>
          <w:trHeight w:val="340"/>
        </w:trPr>
        <w:tc>
          <w:tcPr>
            <w:tcW w:w="4343" w:type="dxa"/>
            <w:shd w:val="clear" w:color="auto" w:fill="auto"/>
            <w:noWrap/>
            <w:vAlign w:val="center"/>
            <w:hideMark/>
          </w:tcPr>
          <w:p w14:paraId="3B2765F5" w14:textId="77777777" w:rsidR="007E7ABF" w:rsidRPr="00855013" w:rsidRDefault="007E7ABF" w:rsidP="00B11F30">
            <w:pPr>
              <w:jc w:val="left"/>
              <w:rPr>
                <w:sz w:val="18"/>
                <w:szCs w:val="18"/>
                <w:lang w:eastAsia="hr-HR"/>
              </w:rPr>
            </w:pPr>
            <w:r w:rsidRPr="00855013">
              <w:rPr>
                <w:sz w:val="18"/>
                <w:szCs w:val="18"/>
                <w:lang w:eastAsia="hr-HR"/>
              </w:rPr>
              <w:t>Grad Vodnjan</w:t>
            </w:r>
          </w:p>
        </w:tc>
        <w:tc>
          <w:tcPr>
            <w:tcW w:w="256" w:type="dxa"/>
            <w:shd w:val="clear" w:color="auto" w:fill="auto"/>
            <w:noWrap/>
            <w:vAlign w:val="bottom"/>
            <w:hideMark/>
          </w:tcPr>
          <w:p w14:paraId="717F4AFB" w14:textId="77777777" w:rsidR="007E7ABF" w:rsidRPr="00855013" w:rsidRDefault="007E7ABF" w:rsidP="00B11F30">
            <w:pPr>
              <w:rPr>
                <w:sz w:val="18"/>
                <w:szCs w:val="18"/>
                <w:lang w:eastAsia="hr-HR"/>
              </w:rPr>
            </w:pPr>
          </w:p>
        </w:tc>
        <w:tc>
          <w:tcPr>
            <w:tcW w:w="2000" w:type="dxa"/>
            <w:shd w:val="clear" w:color="auto" w:fill="auto"/>
            <w:noWrap/>
            <w:vAlign w:val="center"/>
          </w:tcPr>
          <w:p w14:paraId="3B6C7D5D" w14:textId="1A2EFBBA" w:rsidR="007E7ABF" w:rsidRPr="00855013" w:rsidRDefault="007E7ABF" w:rsidP="00B11F30">
            <w:pPr>
              <w:jc w:val="right"/>
              <w:rPr>
                <w:sz w:val="18"/>
                <w:szCs w:val="18"/>
                <w:lang w:eastAsia="hr-HR"/>
              </w:rPr>
            </w:pPr>
            <w:r w:rsidRPr="00872968">
              <w:rPr>
                <w:sz w:val="18"/>
                <w:szCs w:val="18"/>
                <w:lang w:eastAsia="hr-HR"/>
              </w:rPr>
              <w:t>874.524</w:t>
            </w:r>
          </w:p>
        </w:tc>
        <w:tc>
          <w:tcPr>
            <w:tcW w:w="2000" w:type="dxa"/>
            <w:vAlign w:val="center"/>
          </w:tcPr>
          <w:p w14:paraId="4BB59AD3" w14:textId="63B5F3C5" w:rsidR="007E7ABF" w:rsidRPr="00872968" w:rsidRDefault="007E7ABF" w:rsidP="007E7ABF">
            <w:pPr>
              <w:jc w:val="center"/>
              <w:rPr>
                <w:sz w:val="18"/>
                <w:szCs w:val="18"/>
                <w:lang w:eastAsia="hr-HR"/>
              </w:rPr>
            </w:pPr>
            <w:r>
              <w:rPr>
                <w:sz w:val="18"/>
                <w:szCs w:val="18"/>
                <w:lang w:eastAsia="hr-HR"/>
              </w:rPr>
              <w:t>18%</w:t>
            </w:r>
          </w:p>
        </w:tc>
      </w:tr>
      <w:tr w:rsidR="007E7ABF" w:rsidRPr="00855013" w14:paraId="7C3E3C85" w14:textId="110176C8" w:rsidTr="007E7ABF">
        <w:trPr>
          <w:trHeight w:val="340"/>
        </w:trPr>
        <w:tc>
          <w:tcPr>
            <w:tcW w:w="4343" w:type="dxa"/>
            <w:tcBorders>
              <w:bottom w:val="single" w:sz="8" w:space="0" w:color="404040" w:themeColor="text1" w:themeTint="BF"/>
            </w:tcBorders>
            <w:shd w:val="clear" w:color="auto" w:fill="auto"/>
            <w:noWrap/>
            <w:vAlign w:val="center"/>
            <w:hideMark/>
          </w:tcPr>
          <w:p w14:paraId="1B4D4D7A" w14:textId="77777777" w:rsidR="007E7ABF" w:rsidRPr="00855013" w:rsidRDefault="007E7ABF" w:rsidP="00B11F30">
            <w:pPr>
              <w:jc w:val="left"/>
              <w:rPr>
                <w:sz w:val="18"/>
                <w:szCs w:val="18"/>
                <w:lang w:eastAsia="hr-HR"/>
              </w:rPr>
            </w:pPr>
            <w:r w:rsidRPr="00855013">
              <w:rPr>
                <w:sz w:val="18"/>
                <w:szCs w:val="18"/>
                <w:lang w:eastAsia="hr-HR"/>
              </w:rPr>
              <w:t>Općina Fažana</w:t>
            </w:r>
          </w:p>
        </w:tc>
        <w:tc>
          <w:tcPr>
            <w:tcW w:w="256" w:type="dxa"/>
            <w:tcBorders>
              <w:bottom w:val="single" w:sz="8" w:space="0" w:color="404040" w:themeColor="text1" w:themeTint="BF"/>
            </w:tcBorders>
            <w:shd w:val="clear" w:color="auto" w:fill="auto"/>
            <w:noWrap/>
            <w:vAlign w:val="bottom"/>
            <w:hideMark/>
          </w:tcPr>
          <w:p w14:paraId="7FA210AA" w14:textId="77777777" w:rsidR="007E7ABF" w:rsidRPr="00855013" w:rsidRDefault="007E7ABF" w:rsidP="00B11F30">
            <w:pPr>
              <w:rPr>
                <w:sz w:val="18"/>
                <w:szCs w:val="18"/>
                <w:lang w:eastAsia="hr-HR"/>
              </w:rPr>
            </w:pPr>
          </w:p>
        </w:tc>
        <w:tc>
          <w:tcPr>
            <w:tcW w:w="2000" w:type="dxa"/>
            <w:tcBorders>
              <w:bottom w:val="single" w:sz="8" w:space="0" w:color="404040" w:themeColor="text1" w:themeTint="BF"/>
            </w:tcBorders>
            <w:shd w:val="clear" w:color="auto" w:fill="auto"/>
            <w:noWrap/>
            <w:vAlign w:val="center"/>
          </w:tcPr>
          <w:p w14:paraId="076657AD" w14:textId="2B93FA56" w:rsidR="007E7ABF" w:rsidRPr="00855013" w:rsidRDefault="007E7ABF" w:rsidP="00B11F30">
            <w:pPr>
              <w:jc w:val="right"/>
              <w:rPr>
                <w:sz w:val="18"/>
                <w:szCs w:val="18"/>
                <w:lang w:eastAsia="hr-HR"/>
              </w:rPr>
            </w:pPr>
            <w:r w:rsidRPr="00872968">
              <w:rPr>
                <w:sz w:val="18"/>
                <w:szCs w:val="18"/>
                <w:lang w:eastAsia="hr-HR"/>
              </w:rPr>
              <w:t>684.213</w:t>
            </w:r>
          </w:p>
        </w:tc>
        <w:tc>
          <w:tcPr>
            <w:tcW w:w="2000" w:type="dxa"/>
            <w:tcBorders>
              <w:bottom w:val="single" w:sz="8" w:space="0" w:color="404040" w:themeColor="text1" w:themeTint="BF"/>
            </w:tcBorders>
            <w:vAlign w:val="center"/>
          </w:tcPr>
          <w:p w14:paraId="0036A03D" w14:textId="33709ABA" w:rsidR="007E7ABF" w:rsidRPr="00872968" w:rsidRDefault="007E7ABF" w:rsidP="007E7ABF">
            <w:pPr>
              <w:jc w:val="center"/>
              <w:rPr>
                <w:sz w:val="18"/>
                <w:szCs w:val="18"/>
                <w:lang w:eastAsia="hr-HR"/>
              </w:rPr>
            </w:pPr>
            <w:r>
              <w:rPr>
                <w:sz w:val="18"/>
                <w:szCs w:val="18"/>
                <w:lang w:eastAsia="hr-HR"/>
              </w:rPr>
              <w:t>14%</w:t>
            </w:r>
          </w:p>
        </w:tc>
      </w:tr>
      <w:tr w:rsidR="007E7ABF" w:rsidRPr="00855013" w14:paraId="4F049BC5" w14:textId="4AAE05DF" w:rsidTr="007E7ABF">
        <w:trPr>
          <w:trHeight w:val="340"/>
        </w:trPr>
        <w:tc>
          <w:tcPr>
            <w:tcW w:w="4343" w:type="dxa"/>
            <w:tcBorders>
              <w:top w:val="single" w:sz="8" w:space="0" w:color="404040" w:themeColor="text1" w:themeTint="BF"/>
              <w:bottom w:val="single" w:sz="8" w:space="0" w:color="404040" w:themeColor="text1" w:themeTint="BF"/>
            </w:tcBorders>
            <w:shd w:val="clear" w:color="auto" w:fill="auto"/>
            <w:noWrap/>
            <w:vAlign w:val="center"/>
            <w:hideMark/>
          </w:tcPr>
          <w:p w14:paraId="5AEC57A7" w14:textId="38F498E4" w:rsidR="007E7ABF" w:rsidRPr="00855013" w:rsidRDefault="007E7ABF" w:rsidP="00B11F30">
            <w:pPr>
              <w:jc w:val="left"/>
              <w:rPr>
                <w:b/>
                <w:bCs/>
                <w:sz w:val="18"/>
                <w:szCs w:val="18"/>
                <w:lang w:eastAsia="hr-HR"/>
              </w:rPr>
            </w:pPr>
            <w:r w:rsidRPr="00855013">
              <w:rPr>
                <w:b/>
                <w:bCs/>
                <w:sz w:val="18"/>
                <w:szCs w:val="18"/>
                <w:lang w:eastAsia="hr-HR"/>
              </w:rPr>
              <w:t>Sveukupno</w:t>
            </w:r>
          </w:p>
        </w:tc>
        <w:tc>
          <w:tcPr>
            <w:tcW w:w="256" w:type="dxa"/>
            <w:tcBorders>
              <w:top w:val="single" w:sz="8" w:space="0" w:color="404040" w:themeColor="text1" w:themeTint="BF"/>
              <w:bottom w:val="single" w:sz="8" w:space="0" w:color="404040" w:themeColor="text1" w:themeTint="BF"/>
            </w:tcBorders>
            <w:shd w:val="clear" w:color="auto" w:fill="auto"/>
            <w:noWrap/>
            <w:vAlign w:val="center"/>
            <w:hideMark/>
          </w:tcPr>
          <w:p w14:paraId="37EB99C7" w14:textId="77777777" w:rsidR="007E7ABF" w:rsidRPr="00855013" w:rsidRDefault="007E7ABF" w:rsidP="00B11F30">
            <w:pPr>
              <w:rPr>
                <w:b/>
                <w:bCs/>
                <w:sz w:val="18"/>
                <w:szCs w:val="18"/>
                <w:lang w:eastAsia="hr-HR"/>
              </w:rPr>
            </w:pPr>
            <w:r w:rsidRPr="00855013">
              <w:rPr>
                <w:b/>
                <w:bCs/>
                <w:sz w:val="18"/>
                <w:szCs w:val="18"/>
                <w:lang w:eastAsia="hr-HR"/>
              </w:rPr>
              <w:t> </w:t>
            </w:r>
          </w:p>
        </w:tc>
        <w:tc>
          <w:tcPr>
            <w:tcW w:w="2000" w:type="dxa"/>
            <w:tcBorders>
              <w:top w:val="single" w:sz="8" w:space="0" w:color="404040" w:themeColor="text1" w:themeTint="BF"/>
              <w:bottom w:val="single" w:sz="8" w:space="0" w:color="404040" w:themeColor="text1" w:themeTint="BF"/>
            </w:tcBorders>
            <w:shd w:val="clear" w:color="auto" w:fill="auto"/>
            <w:noWrap/>
            <w:vAlign w:val="center"/>
          </w:tcPr>
          <w:p w14:paraId="647747A6" w14:textId="3D102063" w:rsidR="007E7ABF" w:rsidRPr="00855013" w:rsidRDefault="007E7ABF" w:rsidP="00B11F30">
            <w:pPr>
              <w:jc w:val="right"/>
              <w:rPr>
                <w:b/>
                <w:bCs/>
                <w:sz w:val="18"/>
                <w:szCs w:val="18"/>
                <w:lang w:eastAsia="hr-HR"/>
              </w:rPr>
            </w:pPr>
            <w:r>
              <w:rPr>
                <w:b/>
                <w:bCs/>
                <w:sz w:val="18"/>
                <w:szCs w:val="18"/>
                <w:lang w:eastAsia="hr-HR"/>
              </w:rPr>
              <w:fldChar w:fldCharType="begin"/>
            </w:r>
            <w:r>
              <w:rPr>
                <w:b/>
                <w:bCs/>
                <w:sz w:val="18"/>
                <w:szCs w:val="18"/>
                <w:lang w:eastAsia="hr-HR"/>
              </w:rPr>
              <w:instrText xml:space="preserve"> =SUM(ABOVE) </w:instrText>
            </w:r>
            <w:r>
              <w:rPr>
                <w:b/>
                <w:bCs/>
                <w:sz w:val="18"/>
                <w:szCs w:val="18"/>
                <w:lang w:eastAsia="hr-HR"/>
              </w:rPr>
              <w:fldChar w:fldCharType="separate"/>
            </w:r>
            <w:r>
              <w:rPr>
                <w:b/>
                <w:bCs/>
                <w:noProof/>
                <w:sz w:val="18"/>
                <w:szCs w:val="18"/>
                <w:lang w:eastAsia="hr-HR"/>
              </w:rPr>
              <w:t>4.966.310</w:t>
            </w:r>
            <w:r>
              <w:rPr>
                <w:b/>
                <w:bCs/>
                <w:sz w:val="18"/>
                <w:szCs w:val="18"/>
                <w:lang w:eastAsia="hr-HR"/>
              </w:rPr>
              <w:fldChar w:fldCharType="end"/>
            </w:r>
          </w:p>
        </w:tc>
        <w:tc>
          <w:tcPr>
            <w:tcW w:w="2000" w:type="dxa"/>
            <w:tcBorders>
              <w:top w:val="single" w:sz="8" w:space="0" w:color="404040" w:themeColor="text1" w:themeTint="BF"/>
              <w:bottom w:val="single" w:sz="8" w:space="0" w:color="404040" w:themeColor="text1" w:themeTint="BF"/>
            </w:tcBorders>
          </w:tcPr>
          <w:p w14:paraId="11242152" w14:textId="77777777" w:rsidR="007E7ABF" w:rsidRDefault="007E7ABF" w:rsidP="00B11F30">
            <w:pPr>
              <w:jc w:val="right"/>
              <w:rPr>
                <w:b/>
                <w:bCs/>
                <w:sz w:val="18"/>
                <w:szCs w:val="18"/>
                <w:lang w:eastAsia="hr-HR"/>
              </w:rPr>
            </w:pPr>
          </w:p>
        </w:tc>
      </w:tr>
    </w:tbl>
    <w:p w14:paraId="41C2969A" w14:textId="77777777" w:rsidR="00872968" w:rsidRPr="00855013" w:rsidRDefault="00872968" w:rsidP="00872968"/>
    <w:p w14:paraId="02E1179B" w14:textId="77777777" w:rsidR="00866ECE" w:rsidRDefault="00866ECE" w:rsidP="00A02495"/>
    <w:p w14:paraId="1F908350" w14:textId="77777777" w:rsidR="009A14F9" w:rsidRPr="00D240D7" w:rsidRDefault="009A14F9" w:rsidP="00A02495">
      <w:r w:rsidRPr="00D240D7">
        <w:t>Značajne investicije u osnovnu djelatnost tijekom 202</w:t>
      </w:r>
      <w:r>
        <w:t>4</w:t>
      </w:r>
      <w:r w:rsidRPr="00D240D7">
        <w:t>. godine su:</w:t>
      </w:r>
    </w:p>
    <w:p w14:paraId="060A5E9F" w14:textId="77777777" w:rsidR="009A14F9" w:rsidRPr="00D240D7" w:rsidRDefault="009A14F9" w:rsidP="00A02495"/>
    <w:tbl>
      <w:tblPr>
        <w:tblW w:w="8813" w:type="dxa"/>
        <w:tblInd w:w="118" w:type="dxa"/>
        <w:tblBorders>
          <w:top w:val="single" w:sz="4" w:space="0" w:color="BFBFBF" w:themeColor="background1" w:themeShade="BF"/>
          <w:bottom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3"/>
        <w:gridCol w:w="1560"/>
      </w:tblGrid>
      <w:tr w:rsidR="009A14F9" w:rsidRPr="001522B0" w14:paraId="62D2EFBF" w14:textId="77777777" w:rsidTr="0094608E">
        <w:trPr>
          <w:trHeight w:val="397"/>
        </w:trPr>
        <w:tc>
          <w:tcPr>
            <w:tcW w:w="7253" w:type="dxa"/>
            <w:tcBorders>
              <w:top w:val="single" w:sz="8" w:space="0" w:color="404040" w:themeColor="text1" w:themeTint="BF"/>
              <w:bottom w:val="single" w:sz="8" w:space="0" w:color="404040" w:themeColor="text1" w:themeTint="BF"/>
            </w:tcBorders>
            <w:shd w:val="clear" w:color="000000" w:fill="D9D9D9"/>
            <w:vAlign w:val="center"/>
            <w:hideMark/>
          </w:tcPr>
          <w:p w14:paraId="56DCA2F9" w14:textId="7EC2E32A" w:rsidR="009A14F9" w:rsidRPr="001522B0" w:rsidRDefault="001522B0" w:rsidP="00A02495">
            <w:pPr>
              <w:rPr>
                <w:b/>
                <w:bCs/>
                <w:sz w:val="18"/>
                <w:szCs w:val="18"/>
                <w:lang w:eastAsia="hr-HR"/>
              </w:rPr>
            </w:pPr>
            <w:r w:rsidRPr="001522B0">
              <w:rPr>
                <w:b/>
                <w:bCs/>
                <w:sz w:val="18"/>
                <w:szCs w:val="18"/>
                <w:lang w:eastAsia="hr-HR"/>
              </w:rPr>
              <w:t>Značajne investicije – OSNOVNA DJELATNOST</w:t>
            </w:r>
          </w:p>
        </w:tc>
        <w:tc>
          <w:tcPr>
            <w:tcW w:w="1560" w:type="dxa"/>
            <w:tcBorders>
              <w:top w:val="single" w:sz="8" w:space="0" w:color="404040" w:themeColor="text1" w:themeTint="BF"/>
              <w:bottom w:val="single" w:sz="8" w:space="0" w:color="404040" w:themeColor="text1" w:themeTint="BF"/>
            </w:tcBorders>
            <w:shd w:val="clear" w:color="000000" w:fill="D9D9D9"/>
            <w:vAlign w:val="center"/>
            <w:hideMark/>
          </w:tcPr>
          <w:p w14:paraId="6965008C" w14:textId="16CA301B" w:rsidR="009A14F9" w:rsidRPr="001522B0" w:rsidRDefault="009A14F9" w:rsidP="00F82AD5">
            <w:pPr>
              <w:jc w:val="center"/>
              <w:rPr>
                <w:b/>
                <w:bCs/>
                <w:sz w:val="18"/>
                <w:szCs w:val="18"/>
                <w:lang w:eastAsia="hr-HR"/>
              </w:rPr>
            </w:pPr>
            <w:r w:rsidRPr="001522B0">
              <w:rPr>
                <w:b/>
                <w:bCs/>
                <w:sz w:val="18"/>
                <w:szCs w:val="18"/>
                <w:lang w:eastAsia="hr-HR"/>
              </w:rPr>
              <w:t xml:space="preserve">IZNOS           (tisuća </w:t>
            </w:r>
            <w:r w:rsidR="00F82AD5" w:rsidRPr="001522B0">
              <w:rPr>
                <w:b/>
                <w:bCs/>
                <w:sz w:val="18"/>
                <w:szCs w:val="18"/>
                <w:lang w:eastAsia="hr-HR"/>
              </w:rPr>
              <w:t>eura</w:t>
            </w:r>
            <w:r w:rsidRPr="001522B0">
              <w:rPr>
                <w:b/>
                <w:bCs/>
                <w:sz w:val="18"/>
                <w:szCs w:val="18"/>
                <w:lang w:eastAsia="hr-HR"/>
              </w:rPr>
              <w:t>)</w:t>
            </w:r>
          </w:p>
        </w:tc>
      </w:tr>
      <w:tr w:rsidR="009A14F9" w:rsidRPr="00A02495" w14:paraId="549D544B" w14:textId="77777777" w:rsidTr="0094608E">
        <w:trPr>
          <w:trHeight w:val="397"/>
        </w:trPr>
        <w:tc>
          <w:tcPr>
            <w:tcW w:w="7253" w:type="dxa"/>
            <w:tcBorders>
              <w:top w:val="single" w:sz="8" w:space="0" w:color="404040" w:themeColor="text1" w:themeTint="BF"/>
            </w:tcBorders>
            <w:shd w:val="clear" w:color="auto" w:fill="auto"/>
            <w:vAlign w:val="center"/>
            <w:hideMark/>
          </w:tcPr>
          <w:p w14:paraId="51445A03" w14:textId="77777777" w:rsidR="009A14F9" w:rsidRPr="00A02495" w:rsidRDefault="009A14F9" w:rsidP="00A02495">
            <w:pPr>
              <w:rPr>
                <w:sz w:val="18"/>
                <w:szCs w:val="18"/>
                <w:lang w:eastAsia="hr-HR"/>
              </w:rPr>
            </w:pPr>
            <w:r w:rsidRPr="00A02495">
              <w:rPr>
                <w:sz w:val="18"/>
                <w:szCs w:val="18"/>
                <w:lang w:eastAsia="hr-HR"/>
              </w:rPr>
              <w:t xml:space="preserve">Vodomjeri za nove priključke i za zamjenu                                                                                                                                                               </w:t>
            </w:r>
          </w:p>
        </w:tc>
        <w:tc>
          <w:tcPr>
            <w:tcW w:w="1560" w:type="dxa"/>
            <w:tcBorders>
              <w:top w:val="single" w:sz="8" w:space="0" w:color="404040" w:themeColor="text1" w:themeTint="BF"/>
            </w:tcBorders>
            <w:shd w:val="clear" w:color="auto" w:fill="auto"/>
            <w:noWrap/>
            <w:vAlign w:val="center"/>
            <w:hideMark/>
          </w:tcPr>
          <w:p w14:paraId="463E06F2" w14:textId="77777777" w:rsidR="009A14F9" w:rsidRPr="00A02495" w:rsidRDefault="009A14F9" w:rsidP="00BE0F7F">
            <w:pPr>
              <w:jc w:val="center"/>
              <w:rPr>
                <w:sz w:val="18"/>
                <w:szCs w:val="18"/>
                <w:lang w:eastAsia="hr-HR"/>
              </w:rPr>
            </w:pPr>
            <w:r w:rsidRPr="00A02495">
              <w:rPr>
                <w:sz w:val="18"/>
                <w:szCs w:val="18"/>
                <w:lang w:eastAsia="hr-HR"/>
              </w:rPr>
              <w:t>388</w:t>
            </w:r>
          </w:p>
        </w:tc>
      </w:tr>
      <w:tr w:rsidR="009A14F9" w:rsidRPr="00A02495" w14:paraId="547D357C" w14:textId="77777777" w:rsidTr="0094608E">
        <w:trPr>
          <w:trHeight w:val="397"/>
        </w:trPr>
        <w:tc>
          <w:tcPr>
            <w:tcW w:w="7253" w:type="dxa"/>
            <w:shd w:val="clear" w:color="auto" w:fill="auto"/>
            <w:vAlign w:val="center"/>
            <w:hideMark/>
          </w:tcPr>
          <w:p w14:paraId="32B7AE0B" w14:textId="77777777" w:rsidR="009A14F9" w:rsidRPr="00A02495" w:rsidRDefault="009A14F9" w:rsidP="00A02495">
            <w:pPr>
              <w:rPr>
                <w:sz w:val="18"/>
                <w:szCs w:val="18"/>
                <w:lang w:eastAsia="hr-HR"/>
              </w:rPr>
            </w:pPr>
            <w:r w:rsidRPr="00A02495">
              <w:rPr>
                <w:sz w:val="18"/>
                <w:szCs w:val="18"/>
                <w:lang w:eastAsia="hr-HR"/>
              </w:rPr>
              <w:t xml:space="preserve">Uređaj za ionsku kromatografiju                                                                                                                                                                         </w:t>
            </w:r>
          </w:p>
        </w:tc>
        <w:tc>
          <w:tcPr>
            <w:tcW w:w="1560" w:type="dxa"/>
            <w:shd w:val="clear" w:color="auto" w:fill="auto"/>
            <w:noWrap/>
            <w:vAlign w:val="center"/>
            <w:hideMark/>
          </w:tcPr>
          <w:p w14:paraId="4B9CABF2" w14:textId="77777777" w:rsidR="009A14F9" w:rsidRPr="00A02495" w:rsidRDefault="009A14F9" w:rsidP="00BE0F7F">
            <w:pPr>
              <w:jc w:val="center"/>
              <w:rPr>
                <w:sz w:val="18"/>
                <w:szCs w:val="18"/>
                <w:lang w:eastAsia="hr-HR"/>
              </w:rPr>
            </w:pPr>
            <w:r w:rsidRPr="00A02495">
              <w:rPr>
                <w:sz w:val="18"/>
                <w:szCs w:val="18"/>
                <w:lang w:eastAsia="hr-HR"/>
              </w:rPr>
              <w:t>120</w:t>
            </w:r>
          </w:p>
        </w:tc>
      </w:tr>
      <w:tr w:rsidR="009A14F9" w:rsidRPr="00A02495" w14:paraId="333ECFB4" w14:textId="77777777" w:rsidTr="0094608E">
        <w:trPr>
          <w:trHeight w:val="397"/>
        </w:trPr>
        <w:tc>
          <w:tcPr>
            <w:tcW w:w="7253" w:type="dxa"/>
            <w:shd w:val="clear" w:color="auto" w:fill="auto"/>
            <w:vAlign w:val="center"/>
            <w:hideMark/>
          </w:tcPr>
          <w:p w14:paraId="6279B654" w14:textId="77777777" w:rsidR="009A14F9" w:rsidRPr="00A02495" w:rsidRDefault="009A14F9" w:rsidP="00A02495">
            <w:pPr>
              <w:rPr>
                <w:sz w:val="18"/>
                <w:szCs w:val="18"/>
                <w:lang w:eastAsia="hr-HR"/>
              </w:rPr>
            </w:pPr>
            <w:r w:rsidRPr="00A02495">
              <w:rPr>
                <w:sz w:val="18"/>
                <w:szCs w:val="18"/>
                <w:lang w:eastAsia="hr-HR"/>
              </w:rPr>
              <w:t xml:space="preserve">Nabava lakih teretnih vozila do 3,5 T (2 kom)                                                                                                                                                           </w:t>
            </w:r>
          </w:p>
        </w:tc>
        <w:tc>
          <w:tcPr>
            <w:tcW w:w="1560" w:type="dxa"/>
            <w:shd w:val="clear" w:color="auto" w:fill="auto"/>
            <w:noWrap/>
            <w:vAlign w:val="center"/>
            <w:hideMark/>
          </w:tcPr>
          <w:p w14:paraId="72549E03" w14:textId="77777777" w:rsidR="009A14F9" w:rsidRPr="00A02495" w:rsidRDefault="009A14F9" w:rsidP="00BE0F7F">
            <w:pPr>
              <w:jc w:val="center"/>
              <w:rPr>
                <w:sz w:val="18"/>
                <w:szCs w:val="18"/>
                <w:lang w:eastAsia="hr-HR"/>
              </w:rPr>
            </w:pPr>
            <w:r w:rsidRPr="00A02495">
              <w:rPr>
                <w:sz w:val="18"/>
                <w:szCs w:val="18"/>
                <w:lang w:eastAsia="hr-HR"/>
              </w:rPr>
              <w:t>81</w:t>
            </w:r>
          </w:p>
        </w:tc>
      </w:tr>
      <w:tr w:rsidR="009A14F9" w:rsidRPr="00A02495" w14:paraId="55196200" w14:textId="77777777" w:rsidTr="0094608E">
        <w:trPr>
          <w:trHeight w:val="397"/>
        </w:trPr>
        <w:tc>
          <w:tcPr>
            <w:tcW w:w="7253" w:type="dxa"/>
            <w:shd w:val="clear" w:color="auto" w:fill="auto"/>
            <w:vAlign w:val="center"/>
            <w:hideMark/>
          </w:tcPr>
          <w:p w14:paraId="0BB2F48D" w14:textId="77777777" w:rsidR="009A14F9" w:rsidRPr="00A02495" w:rsidRDefault="009A14F9" w:rsidP="00A02495">
            <w:pPr>
              <w:rPr>
                <w:sz w:val="18"/>
                <w:szCs w:val="18"/>
                <w:lang w:eastAsia="hr-HR"/>
              </w:rPr>
            </w:pPr>
            <w:r w:rsidRPr="00A02495">
              <w:rPr>
                <w:sz w:val="18"/>
                <w:szCs w:val="18"/>
                <w:lang w:eastAsia="hr-HR"/>
              </w:rPr>
              <w:t xml:space="preserve">Zamjena dotrajalih crpki sustava odvodnje                                                                                                                                                               </w:t>
            </w:r>
          </w:p>
        </w:tc>
        <w:tc>
          <w:tcPr>
            <w:tcW w:w="1560" w:type="dxa"/>
            <w:shd w:val="clear" w:color="auto" w:fill="auto"/>
            <w:noWrap/>
            <w:vAlign w:val="center"/>
            <w:hideMark/>
          </w:tcPr>
          <w:p w14:paraId="6B5C75A0" w14:textId="77777777" w:rsidR="009A14F9" w:rsidRPr="00A02495" w:rsidRDefault="009A14F9" w:rsidP="00BE0F7F">
            <w:pPr>
              <w:jc w:val="center"/>
              <w:rPr>
                <w:sz w:val="18"/>
                <w:szCs w:val="18"/>
                <w:lang w:eastAsia="hr-HR"/>
              </w:rPr>
            </w:pPr>
            <w:r w:rsidRPr="00A02495">
              <w:rPr>
                <w:sz w:val="18"/>
                <w:szCs w:val="18"/>
                <w:lang w:eastAsia="hr-HR"/>
              </w:rPr>
              <w:t>77</w:t>
            </w:r>
          </w:p>
        </w:tc>
      </w:tr>
      <w:tr w:rsidR="009A14F9" w:rsidRPr="00A02495" w14:paraId="11C6C999" w14:textId="77777777" w:rsidTr="0094608E">
        <w:trPr>
          <w:trHeight w:val="397"/>
        </w:trPr>
        <w:tc>
          <w:tcPr>
            <w:tcW w:w="7253" w:type="dxa"/>
            <w:shd w:val="clear" w:color="auto" w:fill="auto"/>
            <w:vAlign w:val="center"/>
            <w:hideMark/>
          </w:tcPr>
          <w:p w14:paraId="49D182F9" w14:textId="77777777" w:rsidR="009A14F9" w:rsidRPr="00A02495" w:rsidRDefault="009A14F9" w:rsidP="00A02495">
            <w:pPr>
              <w:rPr>
                <w:sz w:val="18"/>
                <w:szCs w:val="18"/>
                <w:lang w:eastAsia="hr-HR"/>
              </w:rPr>
            </w:pPr>
            <w:r w:rsidRPr="00A02495">
              <w:rPr>
                <w:sz w:val="18"/>
                <w:szCs w:val="18"/>
                <w:lang w:eastAsia="hr-HR"/>
              </w:rPr>
              <w:t xml:space="preserve">Zamjena PLC-a pogon Rakonek                                                                                                                                                                             </w:t>
            </w:r>
          </w:p>
        </w:tc>
        <w:tc>
          <w:tcPr>
            <w:tcW w:w="1560" w:type="dxa"/>
            <w:shd w:val="clear" w:color="auto" w:fill="auto"/>
            <w:noWrap/>
            <w:vAlign w:val="center"/>
            <w:hideMark/>
          </w:tcPr>
          <w:p w14:paraId="059A76A8" w14:textId="77777777" w:rsidR="009A14F9" w:rsidRPr="00A02495" w:rsidRDefault="009A14F9" w:rsidP="00BE0F7F">
            <w:pPr>
              <w:jc w:val="center"/>
              <w:rPr>
                <w:sz w:val="18"/>
                <w:szCs w:val="18"/>
                <w:lang w:eastAsia="hr-HR"/>
              </w:rPr>
            </w:pPr>
            <w:r w:rsidRPr="00A02495">
              <w:rPr>
                <w:sz w:val="18"/>
                <w:szCs w:val="18"/>
                <w:lang w:eastAsia="hr-HR"/>
              </w:rPr>
              <w:t>69</w:t>
            </w:r>
          </w:p>
        </w:tc>
      </w:tr>
      <w:tr w:rsidR="009A14F9" w:rsidRPr="00A02495" w14:paraId="7928E225" w14:textId="77777777" w:rsidTr="0094608E">
        <w:trPr>
          <w:trHeight w:val="397"/>
        </w:trPr>
        <w:tc>
          <w:tcPr>
            <w:tcW w:w="7253" w:type="dxa"/>
            <w:shd w:val="clear" w:color="auto" w:fill="auto"/>
            <w:vAlign w:val="center"/>
            <w:hideMark/>
          </w:tcPr>
          <w:p w14:paraId="1230BFC3" w14:textId="54C1DDFE" w:rsidR="009A14F9" w:rsidRPr="00A02495" w:rsidRDefault="009A14F9" w:rsidP="00A02495">
            <w:pPr>
              <w:rPr>
                <w:sz w:val="18"/>
                <w:szCs w:val="18"/>
                <w:lang w:eastAsia="hr-HR"/>
              </w:rPr>
            </w:pPr>
            <w:r w:rsidRPr="00A02495">
              <w:rPr>
                <w:sz w:val="18"/>
                <w:szCs w:val="18"/>
                <w:lang w:eastAsia="hr-HR"/>
              </w:rPr>
              <w:t xml:space="preserve">Rekonstrukcija zasunske komore VS Cassoni Vecchi                                                                                                                                                    </w:t>
            </w:r>
          </w:p>
        </w:tc>
        <w:tc>
          <w:tcPr>
            <w:tcW w:w="1560" w:type="dxa"/>
            <w:shd w:val="clear" w:color="auto" w:fill="auto"/>
            <w:noWrap/>
            <w:vAlign w:val="center"/>
            <w:hideMark/>
          </w:tcPr>
          <w:p w14:paraId="733952C2" w14:textId="77777777" w:rsidR="009A14F9" w:rsidRPr="00A02495" w:rsidRDefault="009A14F9" w:rsidP="00BE0F7F">
            <w:pPr>
              <w:jc w:val="center"/>
              <w:rPr>
                <w:sz w:val="18"/>
                <w:szCs w:val="18"/>
                <w:lang w:eastAsia="hr-HR"/>
              </w:rPr>
            </w:pPr>
            <w:r w:rsidRPr="00A02495">
              <w:rPr>
                <w:sz w:val="18"/>
                <w:szCs w:val="18"/>
                <w:lang w:eastAsia="hr-HR"/>
              </w:rPr>
              <w:t>68</w:t>
            </w:r>
          </w:p>
        </w:tc>
      </w:tr>
      <w:tr w:rsidR="009A14F9" w:rsidRPr="00A02495" w14:paraId="1C9139AC" w14:textId="77777777" w:rsidTr="0094608E">
        <w:trPr>
          <w:trHeight w:val="397"/>
        </w:trPr>
        <w:tc>
          <w:tcPr>
            <w:tcW w:w="7253" w:type="dxa"/>
            <w:shd w:val="clear" w:color="auto" w:fill="auto"/>
            <w:vAlign w:val="center"/>
            <w:hideMark/>
          </w:tcPr>
          <w:p w14:paraId="3078A771" w14:textId="77777777" w:rsidR="009A14F9" w:rsidRPr="00A02495" w:rsidRDefault="009A14F9" w:rsidP="00A02495">
            <w:pPr>
              <w:rPr>
                <w:sz w:val="18"/>
                <w:szCs w:val="18"/>
                <w:lang w:eastAsia="hr-HR"/>
              </w:rPr>
            </w:pPr>
            <w:r w:rsidRPr="00A02495">
              <w:rPr>
                <w:sz w:val="18"/>
                <w:szCs w:val="18"/>
                <w:lang w:eastAsia="hr-HR"/>
              </w:rPr>
              <w:t xml:space="preserve">Terenska vozila s pogonom na 4 kotača                                                                                                                                                                   </w:t>
            </w:r>
          </w:p>
        </w:tc>
        <w:tc>
          <w:tcPr>
            <w:tcW w:w="1560" w:type="dxa"/>
            <w:shd w:val="clear" w:color="auto" w:fill="auto"/>
            <w:noWrap/>
            <w:vAlign w:val="center"/>
            <w:hideMark/>
          </w:tcPr>
          <w:p w14:paraId="1FBC7996" w14:textId="77777777" w:rsidR="009A14F9" w:rsidRPr="00A02495" w:rsidRDefault="009A14F9" w:rsidP="00BE0F7F">
            <w:pPr>
              <w:jc w:val="center"/>
              <w:rPr>
                <w:sz w:val="18"/>
                <w:szCs w:val="18"/>
                <w:lang w:eastAsia="hr-HR"/>
              </w:rPr>
            </w:pPr>
            <w:r w:rsidRPr="00A02495">
              <w:rPr>
                <w:sz w:val="18"/>
                <w:szCs w:val="18"/>
                <w:lang w:eastAsia="hr-HR"/>
              </w:rPr>
              <w:t>67</w:t>
            </w:r>
          </w:p>
        </w:tc>
      </w:tr>
      <w:tr w:rsidR="009A14F9" w:rsidRPr="00A02495" w14:paraId="220F97E2" w14:textId="77777777" w:rsidTr="0094608E">
        <w:trPr>
          <w:trHeight w:val="397"/>
        </w:trPr>
        <w:tc>
          <w:tcPr>
            <w:tcW w:w="7253" w:type="dxa"/>
            <w:shd w:val="clear" w:color="auto" w:fill="auto"/>
            <w:vAlign w:val="center"/>
            <w:hideMark/>
          </w:tcPr>
          <w:p w14:paraId="0A5E4E95" w14:textId="77777777" w:rsidR="009A14F9" w:rsidRPr="00A02495" w:rsidRDefault="009A14F9" w:rsidP="00A02495">
            <w:pPr>
              <w:rPr>
                <w:sz w:val="18"/>
                <w:szCs w:val="18"/>
                <w:lang w:eastAsia="hr-HR"/>
              </w:rPr>
            </w:pPr>
            <w:r w:rsidRPr="00A02495">
              <w:rPr>
                <w:sz w:val="18"/>
                <w:szCs w:val="18"/>
                <w:lang w:eastAsia="hr-HR"/>
              </w:rPr>
              <w:t xml:space="preserve">Nabava osobnih vozila - rabljenih  (4 Kom)                                                                                                                                                              </w:t>
            </w:r>
          </w:p>
        </w:tc>
        <w:tc>
          <w:tcPr>
            <w:tcW w:w="1560" w:type="dxa"/>
            <w:shd w:val="clear" w:color="auto" w:fill="auto"/>
            <w:noWrap/>
            <w:vAlign w:val="center"/>
            <w:hideMark/>
          </w:tcPr>
          <w:p w14:paraId="5EF96E76" w14:textId="77777777" w:rsidR="009A14F9" w:rsidRPr="00A02495" w:rsidRDefault="009A14F9" w:rsidP="00BE0F7F">
            <w:pPr>
              <w:jc w:val="center"/>
              <w:rPr>
                <w:sz w:val="18"/>
                <w:szCs w:val="18"/>
                <w:lang w:eastAsia="hr-HR"/>
              </w:rPr>
            </w:pPr>
            <w:r w:rsidRPr="00A02495">
              <w:rPr>
                <w:sz w:val="18"/>
                <w:szCs w:val="18"/>
                <w:lang w:eastAsia="hr-HR"/>
              </w:rPr>
              <w:t>66</w:t>
            </w:r>
          </w:p>
        </w:tc>
      </w:tr>
      <w:tr w:rsidR="009A14F9" w:rsidRPr="00A02495" w14:paraId="5AD06143" w14:textId="77777777" w:rsidTr="0094608E">
        <w:trPr>
          <w:trHeight w:val="397"/>
        </w:trPr>
        <w:tc>
          <w:tcPr>
            <w:tcW w:w="7253" w:type="dxa"/>
            <w:shd w:val="clear" w:color="auto" w:fill="auto"/>
            <w:vAlign w:val="center"/>
            <w:hideMark/>
          </w:tcPr>
          <w:p w14:paraId="4B428BF9" w14:textId="77777777" w:rsidR="009A14F9" w:rsidRPr="00A02495" w:rsidRDefault="009A14F9" w:rsidP="00A02495">
            <w:pPr>
              <w:rPr>
                <w:sz w:val="18"/>
                <w:szCs w:val="18"/>
                <w:lang w:eastAsia="hr-HR"/>
              </w:rPr>
            </w:pPr>
            <w:r w:rsidRPr="00A02495">
              <w:rPr>
                <w:sz w:val="18"/>
                <w:szCs w:val="18"/>
                <w:lang w:eastAsia="hr-HR"/>
              </w:rPr>
              <w:t xml:space="preserve">Ulaganja u Butoniški sustav                                                                                                                                                                             </w:t>
            </w:r>
          </w:p>
        </w:tc>
        <w:tc>
          <w:tcPr>
            <w:tcW w:w="1560" w:type="dxa"/>
            <w:shd w:val="clear" w:color="auto" w:fill="auto"/>
            <w:noWrap/>
            <w:vAlign w:val="center"/>
            <w:hideMark/>
          </w:tcPr>
          <w:p w14:paraId="5300A540" w14:textId="77777777" w:rsidR="009A14F9" w:rsidRPr="00A02495" w:rsidRDefault="009A14F9" w:rsidP="00BE0F7F">
            <w:pPr>
              <w:jc w:val="center"/>
              <w:rPr>
                <w:sz w:val="18"/>
                <w:szCs w:val="18"/>
                <w:lang w:eastAsia="hr-HR"/>
              </w:rPr>
            </w:pPr>
            <w:r w:rsidRPr="00A02495">
              <w:rPr>
                <w:sz w:val="18"/>
                <w:szCs w:val="18"/>
                <w:lang w:eastAsia="hr-HR"/>
              </w:rPr>
              <w:t>64</w:t>
            </w:r>
          </w:p>
        </w:tc>
      </w:tr>
      <w:tr w:rsidR="009A14F9" w:rsidRPr="00A02495" w14:paraId="318EABD2" w14:textId="77777777" w:rsidTr="0094608E">
        <w:trPr>
          <w:trHeight w:val="397"/>
        </w:trPr>
        <w:tc>
          <w:tcPr>
            <w:tcW w:w="7253" w:type="dxa"/>
            <w:shd w:val="clear" w:color="auto" w:fill="auto"/>
            <w:vAlign w:val="center"/>
            <w:hideMark/>
          </w:tcPr>
          <w:p w14:paraId="07303F74" w14:textId="77777777" w:rsidR="009A14F9" w:rsidRPr="00A02495" w:rsidRDefault="009A14F9" w:rsidP="00A02495">
            <w:pPr>
              <w:rPr>
                <w:sz w:val="18"/>
                <w:szCs w:val="18"/>
                <w:lang w:eastAsia="hr-HR"/>
              </w:rPr>
            </w:pPr>
            <w:r w:rsidRPr="00A02495">
              <w:rPr>
                <w:sz w:val="18"/>
                <w:szCs w:val="18"/>
                <w:lang w:eastAsia="hr-HR"/>
              </w:rPr>
              <w:t xml:space="preserve">Izvođenje radova rekonstrukcije VS Boškari                                                                                                                                                              </w:t>
            </w:r>
          </w:p>
        </w:tc>
        <w:tc>
          <w:tcPr>
            <w:tcW w:w="1560" w:type="dxa"/>
            <w:shd w:val="clear" w:color="auto" w:fill="auto"/>
            <w:noWrap/>
            <w:vAlign w:val="center"/>
            <w:hideMark/>
          </w:tcPr>
          <w:p w14:paraId="60FEFF22" w14:textId="77777777" w:rsidR="009A14F9" w:rsidRPr="00A02495" w:rsidRDefault="009A14F9" w:rsidP="00BE0F7F">
            <w:pPr>
              <w:jc w:val="center"/>
              <w:rPr>
                <w:sz w:val="18"/>
                <w:szCs w:val="18"/>
                <w:lang w:eastAsia="hr-HR"/>
              </w:rPr>
            </w:pPr>
            <w:r w:rsidRPr="00A02495">
              <w:rPr>
                <w:sz w:val="18"/>
                <w:szCs w:val="18"/>
                <w:lang w:eastAsia="hr-HR"/>
              </w:rPr>
              <w:t>64</w:t>
            </w:r>
          </w:p>
        </w:tc>
      </w:tr>
      <w:tr w:rsidR="009A14F9" w:rsidRPr="00A02495" w14:paraId="59EE0ACB" w14:textId="77777777" w:rsidTr="0094608E">
        <w:trPr>
          <w:trHeight w:val="397"/>
        </w:trPr>
        <w:tc>
          <w:tcPr>
            <w:tcW w:w="7253" w:type="dxa"/>
            <w:shd w:val="clear" w:color="auto" w:fill="auto"/>
            <w:vAlign w:val="center"/>
            <w:hideMark/>
          </w:tcPr>
          <w:p w14:paraId="4962636A" w14:textId="77777777" w:rsidR="009A14F9" w:rsidRPr="00A02495" w:rsidRDefault="009A14F9" w:rsidP="00A02495">
            <w:pPr>
              <w:rPr>
                <w:sz w:val="18"/>
                <w:szCs w:val="18"/>
                <w:lang w:eastAsia="hr-HR"/>
              </w:rPr>
            </w:pPr>
            <w:r w:rsidRPr="00A02495">
              <w:rPr>
                <w:sz w:val="18"/>
                <w:szCs w:val="18"/>
                <w:lang w:eastAsia="hr-HR"/>
              </w:rPr>
              <w:t xml:space="preserve">Ugradnja fotonaponskih kolektora na objekte vodoopskrbe                                                                                                                                                 </w:t>
            </w:r>
          </w:p>
        </w:tc>
        <w:tc>
          <w:tcPr>
            <w:tcW w:w="1560" w:type="dxa"/>
            <w:shd w:val="clear" w:color="auto" w:fill="auto"/>
            <w:noWrap/>
            <w:vAlign w:val="center"/>
            <w:hideMark/>
          </w:tcPr>
          <w:p w14:paraId="5E8CC853" w14:textId="77777777" w:rsidR="009A14F9" w:rsidRPr="00A02495" w:rsidRDefault="009A14F9" w:rsidP="00BE0F7F">
            <w:pPr>
              <w:jc w:val="center"/>
              <w:rPr>
                <w:sz w:val="18"/>
                <w:szCs w:val="18"/>
                <w:lang w:eastAsia="hr-HR"/>
              </w:rPr>
            </w:pPr>
            <w:r w:rsidRPr="00A02495">
              <w:rPr>
                <w:sz w:val="18"/>
                <w:szCs w:val="18"/>
                <w:lang w:eastAsia="hr-HR"/>
              </w:rPr>
              <w:t>59</w:t>
            </w:r>
          </w:p>
        </w:tc>
      </w:tr>
      <w:tr w:rsidR="009A14F9" w:rsidRPr="00A02495" w14:paraId="1CE718AE" w14:textId="77777777" w:rsidTr="0094608E">
        <w:trPr>
          <w:trHeight w:val="397"/>
        </w:trPr>
        <w:tc>
          <w:tcPr>
            <w:tcW w:w="7253" w:type="dxa"/>
            <w:shd w:val="clear" w:color="auto" w:fill="auto"/>
            <w:vAlign w:val="center"/>
            <w:hideMark/>
          </w:tcPr>
          <w:p w14:paraId="1C20E424" w14:textId="77777777" w:rsidR="009A14F9" w:rsidRPr="00A02495" w:rsidRDefault="009A14F9" w:rsidP="00A02495">
            <w:pPr>
              <w:rPr>
                <w:sz w:val="18"/>
                <w:szCs w:val="18"/>
                <w:lang w:eastAsia="hr-HR"/>
              </w:rPr>
            </w:pPr>
            <w:r w:rsidRPr="00A02495">
              <w:rPr>
                <w:sz w:val="18"/>
                <w:szCs w:val="18"/>
                <w:lang w:eastAsia="hr-HR"/>
              </w:rPr>
              <w:t xml:space="preserve">Loggeri Šumova  - Medulin, Premantura, Ližnjan- novo i  zamjena starih                                                                                                                                  </w:t>
            </w:r>
          </w:p>
        </w:tc>
        <w:tc>
          <w:tcPr>
            <w:tcW w:w="1560" w:type="dxa"/>
            <w:shd w:val="clear" w:color="auto" w:fill="auto"/>
            <w:noWrap/>
            <w:vAlign w:val="center"/>
            <w:hideMark/>
          </w:tcPr>
          <w:p w14:paraId="34DCFD1D" w14:textId="77777777" w:rsidR="009A14F9" w:rsidRPr="00A02495" w:rsidRDefault="009A14F9" w:rsidP="00BE0F7F">
            <w:pPr>
              <w:jc w:val="center"/>
              <w:rPr>
                <w:sz w:val="18"/>
                <w:szCs w:val="18"/>
                <w:lang w:eastAsia="hr-HR"/>
              </w:rPr>
            </w:pPr>
            <w:r w:rsidRPr="00A02495">
              <w:rPr>
                <w:sz w:val="18"/>
                <w:szCs w:val="18"/>
                <w:lang w:eastAsia="hr-HR"/>
              </w:rPr>
              <w:t>58</w:t>
            </w:r>
          </w:p>
        </w:tc>
      </w:tr>
      <w:tr w:rsidR="009A14F9" w:rsidRPr="00A02495" w14:paraId="0D787D2E" w14:textId="77777777" w:rsidTr="0094608E">
        <w:trPr>
          <w:trHeight w:val="397"/>
        </w:trPr>
        <w:tc>
          <w:tcPr>
            <w:tcW w:w="7253" w:type="dxa"/>
            <w:shd w:val="clear" w:color="auto" w:fill="auto"/>
            <w:vAlign w:val="center"/>
            <w:hideMark/>
          </w:tcPr>
          <w:p w14:paraId="68AA8833" w14:textId="17562F61" w:rsidR="009A14F9" w:rsidRPr="00A02495" w:rsidRDefault="009A14F9" w:rsidP="00A02495">
            <w:pPr>
              <w:rPr>
                <w:sz w:val="18"/>
                <w:szCs w:val="18"/>
                <w:lang w:eastAsia="hr-HR"/>
              </w:rPr>
            </w:pPr>
            <w:r w:rsidRPr="00A02495">
              <w:rPr>
                <w:sz w:val="18"/>
                <w:szCs w:val="18"/>
                <w:lang w:eastAsia="hr-HR"/>
              </w:rPr>
              <w:t xml:space="preserve">Ograda Rakonek                                                                                                                                                                                          </w:t>
            </w:r>
          </w:p>
        </w:tc>
        <w:tc>
          <w:tcPr>
            <w:tcW w:w="1560" w:type="dxa"/>
            <w:shd w:val="clear" w:color="auto" w:fill="auto"/>
            <w:noWrap/>
            <w:vAlign w:val="center"/>
            <w:hideMark/>
          </w:tcPr>
          <w:p w14:paraId="7138072F" w14:textId="77777777" w:rsidR="009A14F9" w:rsidRPr="00A02495" w:rsidRDefault="009A14F9" w:rsidP="00BE0F7F">
            <w:pPr>
              <w:jc w:val="center"/>
              <w:rPr>
                <w:sz w:val="18"/>
                <w:szCs w:val="18"/>
                <w:lang w:eastAsia="hr-HR"/>
              </w:rPr>
            </w:pPr>
            <w:r w:rsidRPr="00A02495">
              <w:rPr>
                <w:sz w:val="18"/>
                <w:szCs w:val="18"/>
                <w:lang w:eastAsia="hr-HR"/>
              </w:rPr>
              <w:t>57</w:t>
            </w:r>
          </w:p>
        </w:tc>
      </w:tr>
      <w:tr w:rsidR="009A14F9" w:rsidRPr="00A02495" w14:paraId="2E97AF10" w14:textId="77777777" w:rsidTr="0094608E">
        <w:trPr>
          <w:trHeight w:val="397"/>
        </w:trPr>
        <w:tc>
          <w:tcPr>
            <w:tcW w:w="7253" w:type="dxa"/>
            <w:shd w:val="clear" w:color="auto" w:fill="auto"/>
            <w:vAlign w:val="center"/>
            <w:hideMark/>
          </w:tcPr>
          <w:p w14:paraId="6266FECA" w14:textId="77777777" w:rsidR="009A14F9" w:rsidRPr="00A02495" w:rsidRDefault="009A14F9" w:rsidP="00A02495">
            <w:pPr>
              <w:rPr>
                <w:sz w:val="18"/>
                <w:szCs w:val="18"/>
                <w:lang w:eastAsia="hr-HR"/>
              </w:rPr>
            </w:pPr>
            <w:r w:rsidRPr="00A02495">
              <w:rPr>
                <w:sz w:val="18"/>
                <w:szCs w:val="18"/>
                <w:lang w:eastAsia="hr-HR"/>
              </w:rPr>
              <w:t xml:space="preserve">Izvođenje radova rekonstrukcije, dogradnje i opremanja MRM Fažana                                                                                                                                       </w:t>
            </w:r>
          </w:p>
        </w:tc>
        <w:tc>
          <w:tcPr>
            <w:tcW w:w="1560" w:type="dxa"/>
            <w:shd w:val="clear" w:color="auto" w:fill="auto"/>
            <w:noWrap/>
            <w:vAlign w:val="center"/>
            <w:hideMark/>
          </w:tcPr>
          <w:p w14:paraId="24496440" w14:textId="77777777" w:rsidR="009A14F9" w:rsidRPr="00A02495" w:rsidRDefault="009A14F9" w:rsidP="00BE0F7F">
            <w:pPr>
              <w:jc w:val="center"/>
              <w:rPr>
                <w:sz w:val="18"/>
                <w:szCs w:val="18"/>
                <w:lang w:eastAsia="hr-HR"/>
              </w:rPr>
            </w:pPr>
            <w:r w:rsidRPr="00A02495">
              <w:rPr>
                <w:sz w:val="18"/>
                <w:szCs w:val="18"/>
                <w:lang w:eastAsia="hr-HR"/>
              </w:rPr>
              <w:t>56</w:t>
            </w:r>
          </w:p>
        </w:tc>
      </w:tr>
      <w:tr w:rsidR="009A14F9" w:rsidRPr="00A02495" w14:paraId="0D6EF170" w14:textId="77777777" w:rsidTr="0094608E">
        <w:trPr>
          <w:trHeight w:val="397"/>
        </w:trPr>
        <w:tc>
          <w:tcPr>
            <w:tcW w:w="7253" w:type="dxa"/>
            <w:shd w:val="clear" w:color="auto" w:fill="auto"/>
            <w:vAlign w:val="center"/>
            <w:hideMark/>
          </w:tcPr>
          <w:p w14:paraId="0C23BB0D" w14:textId="77777777" w:rsidR="009A14F9" w:rsidRPr="00A02495" w:rsidRDefault="009A14F9" w:rsidP="00A02495">
            <w:pPr>
              <w:rPr>
                <w:sz w:val="18"/>
                <w:szCs w:val="18"/>
                <w:lang w:eastAsia="hr-HR"/>
              </w:rPr>
            </w:pPr>
            <w:r w:rsidRPr="00A02495">
              <w:rPr>
                <w:sz w:val="18"/>
                <w:szCs w:val="18"/>
                <w:lang w:eastAsia="hr-HR"/>
              </w:rPr>
              <w:t xml:space="preserve">Poslovna i pomoćna građevina - rekonstrukcija zgrade na kč. 5001/4  ko Pula, Vidikovac                                                                                                                  </w:t>
            </w:r>
          </w:p>
        </w:tc>
        <w:tc>
          <w:tcPr>
            <w:tcW w:w="1560" w:type="dxa"/>
            <w:shd w:val="clear" w:color="auto" w:fill="auto"/>
            <w:noWrap/>
            <w:vAlign w:val="center"/>
            <w:hideMark/>
          </w:tcPr>
          <w:p w14:paraId="51CBAB14" w14:textId="77777777" w:rsidR="009A14F9" w:rsidRPr="00A02495" w:rsidRDefault="009A14F9" w:rsidP="00BE0F7F">
            <w:pPr>
              <w:jc w:val="center"/>
              <w:rPr>
                <w:sz w:val="18"/>
                <w:szCs w:val="18"/>
                <w:lang w:eastAsia="hr-HR"/>
              </w:rPr>
            </w:pPr>
            <w:r w:rsidRPr="00A02495">
              <w:rPr>
                <w:sz w:val="18"/>
                <w:szCs w:val="18"/>
                <w:lang w:eastAsia="hr-HR"/>
              </w:rPr>
              <w:t>54</w:t>
            </w:r>
          </w:p>
        </w:tc>
      </w:tr>
      <w:tr w:rsidR="009A14F9" w:rsidRPr="00A02495" w14:paraId="67E64A14" w14:textId="77777777" w:rsidTr="0094608E">
        <w:trPr>
          <w:trHeight w:val="397"/>
        </w:trPr>
        <w:tc>
          <w:tcPr>
            <w:tcW w:w="7253" w:type="dxa"/>
            <w:shd w:val="clear" w:color="auto" w:fill="auto"/>
            <w:vAlign w:val="center"/>
            <w:hideMark/>
          </w:tcPr>
          <w:p w14:paraId="743120FD" w14:textId="77777777" w:rsidR="009A14F9" w:rsidRPr="00A02495" w:rsidRDefault="009A14F9" w:rsidP="00A02495">
            <w:pPr>
              <w:rPr>
                <w:sz w:val="18"/>
                <w:szCs w:val="18"/>
                <w:lang w:eastAsia="hr-HR"/>
              </w:rPr>
            </w:pPr>
            <w:r w:rsidRPr="00A02495">
              <w:rPr>
                <w:sz w:val="18"/>
                <w:szCs w:val="18"/>
                <w:lang w:eastAsia="hr-HR"/>
              </w:rPr>
              <w:t xml:space="preserve">NT pumpa teglica                                                                                                                                                                                        </w:t>
            </w:r>
          </w:p>
        </w:tc>
        <w:tc>
          <w:tcPr>
            <w:tcW w:w="1560" w:type="dxa"/>
            <w:shd w:val="clear" w:color="auto" w:fill="auto"/>
            <w:noWrap/>
            <w:vAlign w:val="center"/>
            <w:hideMark/>
          </w:tcPr>
          <w:p w14:paraId="1BCB78CE" w14:textId="77777777" w:rsidR="009A14F9" w:rsidRPr="00A02495" w:rsidRDefault="009A14F9" w:rsidP="00BE0F7F">
            <w:pPr>
              <w:jc w:val="center"/>
              <w:rPr>
                <w:sz w:val="18"/>
                <w:szCs w:val="18"/>
                <w:lang w:eastAsia="hr-HR"/>
              </w:rPr>
            </w:pPr>
            <w:r w:rsidRPr="00A02495">
              <w:rPr>
                <w:sz w:val="18"/>
                <w:szCs w:val="18"/>
                <w:lang w:eastAsia="hr-HR"/>
              </w:rPr>
              <w:t>51</w:t>
            </w:r>
          </w:p>
        </w:tc>
      </w:tr>
      <w:tr w:rsidR="009A14F9" w:rsidRPr="00A02495" w14:paraId="450F6523" w14:textId="77777777" w:rsidTr="0094608E">
        <w:trPr>
          <w:trHeight w:val="397"/>
        </w:trPr>
        <w:tc>
          <w:tcPr>
            <w:tcW w:w="7253" w:type="dxa"/>
            <w:shd w:val="clear" w:color="auto" w:fill="auto"/>
            <w:vAlign w:val="center"/>
            <w:hideMark/>
          </w:tcPr>
          <w:p w14:paraId="08B4D9E7" w14:textId="77777777" w:rsidR="009A14F9" w:rsidRPr="00A02495" w:rsidRDefault="009A14F9" w:rsidP="00A02495">
            <w:pPr>
              <w:rPr>
                <w:sz w:val="18"/>
                <w:szCs w:val="18"/>
                <w:lang w:eastAsia="hr-HR"/>
              </w:rPr>
            </w:pPr>
            <w:r w:rsidRPr="00A02495">
              <w:rPr>
                <w:sz w:val="18"/>
                <w:szCs w:val="18"/>
                <w:lang w:eastAsia="hr-HR"/>
              </w:rPr>
              <w:t xml:space="preserve">NT pumpe za punjenje VS za pranje filtera                                                                                                                                                               </w:t>
            </w:r>
          </w:p>
        </w:tc>
        <w:tc>
          <w:tcPr>
            <w:tcW w:w="1560" w:type="dxa"/>
            <w:shd w:val="clear" w:color="auto" w:fill="auto"/>
            <w:noWrap/>
            <w:vAlign w:val="center"/>
            <w:hideMark/>
          </w:tcPr>
          <w:p w14:paraId="1D183754" w14:textId="77777777" w:rsidR="009A14F9" w:rsidRPr="00A02495" w:rsidRDefault="009A14F9" w:rsidP="00BE0F7F">
            <w:pPr>
              <w:jc w:val="center"/>
              <w:rPr>
                <w:sz w:val="18"/>
                <w:szCs w:val="18"/>
                <w:lang w:eastAsia="hr-HR"/>
              </w:rPr>
            </w:pPr>
            <w:r w:rsidRPr="00A02495">
              <w:rPr>
                <w:sz w:val="18"/>
                <w:szCs w:val="18"/>
                <w:lang w:eastAsia="hr-HR"/>
              </w:rPr>
              <w:t>44</w:t>
            </w:r>
          </w:p>
        </w:tc>
      </w:tr>
    </w:tbl>
    <w:p w14:paraId="67AB78CE" w14:textId="77777777" w:rsidR="007324F9" w:rsidRDefault="007324F9" w:rsidP="00A02495"/>
    <w:p w14:paraId="3846728B" w14:textId="2C4A8BAA" w:rsidR="00A65DE7" w:rsidRPr="00B41A18" w:rsidRDefault="00A65DE7" w:rsidP="00A02495">
      <w:r w:rsidRPr="00B41A18">
        <w:t>Veće investicije pokrenute su u suradnji sa Hrvatskim vodama</w:t>
      </w:r>
      <w:r w:rsidR="001772FF" w:rsidRPr="00B41A18">
        <w:t>, EU fondovima</w:t>
      </w:r>
      <w:r w:rsidR="00FC3EBF" w:rsidRPr="00B41A18">
        <w:t xml:space="preserve"> i </w:t>
      </w:r>
      <w:r w:rsidR="007C3D3A" w:rsidRPr="00B41A18">
        <w:t>ostalim izvor</w:t>
      </w:r>
      <w:r w:rsidR="003A5BC8" w:rsidRPr="00B41A18">
        <w:t>ima</w:t>
      </w:r>
      <w:r w:rsidRPr="00B41A18">
        <w:t>. Financiranje izgradnje i rekonstrukcije vodovodne mreže temeljem Ugovora o financiranju u 20</w:t>
      </w:r>
      <w:r w:rsidR="001772FF" w:rsidRPr="00B41A18">
        <w:t>2</w:t>
      </w:r>
      <w:r w:rsidR="00023F84" w:rsidRPr="00B41A18">
        <w:t>4</w:t>
      </w:r>
      <w:r w:rsidRPr="00B41A18">
        <w:t>. godini je slijedeće:</w:t>
      </w:r>
    </w:p>
    <w:p w14:paraId="01A51411" w14:textId="6CA7B7E4" w:rsidR="00E80CFD" w:rsidRPr="00B41A18" w:rsidRDefault="00023F84" w:rsidP="0094608E">
      <w:pPr>
        <w:pStyle w:val="Odlomakpopisa"/>
        <w:numPr>
          <w:ilvl w:val="0"/>
          <w:numId w:val="4"/>
        </w:numPr>
      </w:pPr>
      <w:r w:rsidRPr="00B41A18">
        <w:t>6,7</w:t>
      </w:r>
      <w:r w:rsidR="00E80CFD" w:rsidRPr="00B41A18">
        <w:t xml:space="preserve"> milijuna </w:t>
      </w:r>
      <w:r w:rsidR="00B10F8E" w:rsidRPr="00B41A18">
        <w:t>eura</w:t>
      </w:r>
      <w:r w:rsidR="00E80CFD" w:rsidRPr="00B41A18">
        <w:t xml:space="preserve"> financirano je putem EU fondova (NPOO)</w:t>
      </w:r>
      <w:r w:rsidR="00FC5666" w:rsidRPr="00B41A18">
        <w:t xml:space="preserve"> za</w:t>
      </w:r>
      <w:r w:rsidR="00E80CFD" w:rsidRPr="00B41A18">
        <w:t xml:space="preserve"> </w:t>
      </w:r>
      <w:r w:rsidR="00B41A18">
        <w:t>izgradnju sustava javne vodoopskrbe i odvodnje u sklopu projekta aglomeracije Pula Sjever</w:t>
      </w:r>
      <w:r w:rsidR="00B41A18" w:rsidRPr="00B41A18">
        <w:t>, za</w:t>
      </w:r>
      <w:r w:rsidR="00B41A18" w:rsidRPr="00B41A18">
        <w:rPr>
          <w:i/>
          <w:iCs/>
        </w:rPr>
        <w:t xml:space="preserve"> </w:t>
      </w:r>
      <w:r w:rsidR="00B41A18" w:rsidRPr="00B41A18">
        <w:t xml:space="preserve"> </w:t>
      </w:r>
      <w:r w:rsidR="00B10F8E" w:rsidRPr="00B41A18">
        <w:t>izgradnju sustava javne odvodnje Veli Vrh – Šijana</w:t>
      </w:r>
      <w:r w:rsidR="00B65F4E" w:rsidRPr="00B41A18">
        <w:t xml:space="preserve">,  izgradnju  vodovodne mreže Tlačni cjevovod RS Rakonek </w:t>
      </w:r>
      <w:r w:rsidR="00B65F4E" w:rsidRPr="00B41A18">
        <w:lastRenderedPageBreak/>
        <w:t xml:space="preserve">– VS Prnjani, </w:t>
      </w:r>
      <w:r w:rsidRPr="00B41A18">
        <w:t xml:space="preserve">izgradnju </w:t>
      </w:r>
      <w:r w:rsidR="00B65F4E" w:rsidRPr="00B41A18">
        <w:t>sustava javne odvodnje Dolinka - Valdabek – Busoler, izgradnju i rekonstrukciju mreže u Tršćanskoj-Veli Vrh-Šijana</w:t>
      </w:r>
      <w:r w:rsidRPr="00B41A18">
        <w:t>, i</w:t>
      </w:r>
      <w:r w:rsidR="00B65F4E" w:rsidRPr="00B41A18">
        <w:t>;</w:t>
      </w:r>
    </w:p>
    <w:p w14:paraId="34FF9449" w14:textId="0D7FA80D" w:rsidR="00B65F4E" w:rsidRPr="00B41A18" w:rsidRDefault="00B65F4E" w:rsidP="0094608E">
      <w:pPr>
        <w:pStyle w:val="Odlomakpopisa"/>
        <w:numPr>
          <w:ilvl w:val="0"/>
          <w:numId w:val="4"/>
        </w:numPr>
      </w:pPr>
      <w:r w:rsidRPr="00B41A18">
        <w:t>0,</w:t>
      </w:r>
      <w:r w:rsidR="00B41A18">
        <w:t>6</w:t>
      </w:r>
      <w:r w:rsidRPr="00B41A18">
        <w:t xml:space="preserve"> milijuna eura financirale su jedinice lokalne samouprave za izgradnju vodovodne  mreže i mreže odvodnje;</w:t>
      </w:r>
    </w:p>
    <w:p w14:paraId="4BE892A1" w14:textId="5C465307" w:rsidR="00C82B17" w:rsidRPr="00B41A18" w:rsidRDefault="00B10F8E" w:rsidP="0094608E">
      <w:pPr>
        <w:pStyle w:val="Odlomakpopisa"/>
        <w:numPr>
          <w:ilvl w:val="0"/>
          <w:numId w:val="4"/>
        </w:numPr>
      </w:pPr>
      <w:r w:rsidRPr="00B41A18">
        <w:t>0,</w:t>
      </w:r>
      <w:r w:rsidR="00B41A18">
        <w:t>1</w:t>
      </w:r>
      <w:r w:rsidRPr="00B41A18">
        <w:t xml:space="preserve"> milijuna eura</w:t>
      </w:r>
      <w:r w:rsidR="00C82B17" w:rsidRPr="00B41A18">
        <w:t xml:space="preserve"> financirale su Hrvatske vode Zagreb za</w:t>
      </w:r>
      <w:r w:rsidR="00B41A18">
        <w:t xml:space="preserve"> izgradnju vodovodne mreže NP Brijuni (4.faza),</w:t>
      </w:r>
      <w:r w:rsidR="00C82B17" w:rsidRPr="00B41A18">
        <w:t xml:space="preserve"> </w:t>
      </w:r>
      <w:r w:rsidR="00B41A18">
        <w:t xml:space="preserve">za loggere šumova Medulin/Premantura/Ližnjan, </w:t>
      </w:r>
      <w:r w:rsidR="00D132EF" w:rsidRPr="00B41A18">
        <w:t>ugradnju mjernih uređaje na vodozahvatima, izradu elaborata sanitarne zaštite novog izvorišta Pula</w:t>
      </w:r>
      <w:r w:rsidR="00B41A18">
        <w:t>, izgradnju sanitarne odvodnje dijela ulice Drenovica, izgradnju sanitarne odvodnje u Valbandonu Pineta I,II,II</w:t>
      </w:r>
    </w:p>
    <w:p w14:paraId="344E153A" w14:textId="4CB0046B" w:rsidR="00B10F8E" w:rsidRPr="00B41A18" w:rsidRDefault="00B10F8E" w:rsidP="0094608E">
      <w:pPr>
        <w:pStyle w:val="Odlomakpopisa"/>
        <w:numPr>
          <w:ilvl w:val="0"/>
          <w:numId w:val="4"/>
        </w:numPr>
      </w:pPr>
      <w:r w:rsidRPr="00B41A18">
        <w:t>0,</w:t>
      </w:r>
      <w:r w:rsidR="00B41A18">
        <w:t>7</w:t>
      </w:r>
      <w:r w:rsidRPr="00B41A18">
        <w:t xml:space="preserve"> milijuna eura financirale su ostale pravne i fizičke osobe vezano za izgradnju vodovodne mreže</w:t>
      </w:r>
      <w:r w:rsidR="00FC5666" w:rsidRPr="00B41A18">
        <w:t xml:space="preserve"> i mreže odvodnje</w:t>
      </w:r>
      <w:r w:rsidRPr="00B41A18">
        <w:t>;</w:t>
      </w:r>
    </w:p>
    <w:p w14:paraId="32910F10" w14:textId="2D824298" w:rsidR="00A65DE7" w:rsidRPr="00B41A18" w:rsidRDefault="00A65DE7" w:rsidP="0094608E">
      <w:pPr>
        <w:pStyle w:val="Odlomakpopisa"/>
        <w:numPr>
          <w:ilvl w:val="0"/>
          <w:numId w:val="4"/>
        </w:numPr>
      </w:pPr>
      <w:r w:rsidRPr="00B41A18">
        <w:t>0,</w:t>
      </w:r>
      <w:r w:rsidR="00E2625F">
        <w:t>0</w:t>
      </w:r>
      <w:r w:rsidR="00B41A18">
        <w:t>9</w:t>
      </w:r>
      <w:r w:rsidR="00C82B17" w:rsidRPr="00B41A18">
        <w:t xml:space="preserve"> </w:t>
      </w:r>
      <w:r w:rsidRPr="00B41A18">
        <w:t xml:space="preserve"> </w:t>
      </w:r>
      <w:r w:rsidR="00482A24" w:rsidRPr="00B41A18">
        <w:t>milijuna eura</w:t>
      </w:r>
      <w:r w:rsidRPr="00B41A18">
        <w:t xml:space="preserve"> za preuzimanje vodovodne mreže (priključci vode).</w:t>
      </w:r>
    </w:p>
    <w:p w14:paraId="01FBAD1C" w14:textId="77777777" w:rsidR="00A65DE7" w:rsidRPr="00ED2793" w:rsidRDefault="00A65DE7" w:rsidP="00A02495">
      <w:pPr>
        <w:rPr>
          <w:highlight w:val="lightGray"/>
        </w:rPr>
      </w:pPr>
    </w:p>
    <w:p w14:paraId="30023D98" w14:textId="7B10D764" w:rsidR="0074193E" w:rsidRDefault="00727DC3" w:rsidP="00A02495">
      <w:pPr>
        <w:pStyle w:val="Odlomakpopisa2"/>
        <w:ind w:left="0"/>
      </w:pPr>
      <w:r w:rsidRPr="0074193E">
        <w:rPr>
          <w:b/>
        </w:rPr>
        <w:t>Dugotrajna f</w:t>
      </w:r>
      <w:r w:rsidR="004A4B1E" w:rsidRPr="0074193E">
        <w:rPr>
          <w:b/>
        </w:rPr>
        <w:t>inancijska imovina</w:t>
      </w:r>
      <w:r w:rsidR="004A4B1E" w:rsidRPr="0074193E">
        <w:t xml:space="preserve"> Društva </w:t>
      </w:r>
      <w:r w:rsidR="0074193E">
        <w:t>u iznosu od 288.276 eura odnosi se udjele</w:t>
      </w:r>
      <w:r w:rsidR="0074193E" w:rsidRPr="0074193E">
        <w:t xml:space="preserve"> u društvu Luka Pula d.o.o., od čega udjeli u Luka Pula za izvršene usluge iznose 206.538 eura, a udjeli u Luka Pula – sredstva za financiranje izgradnje </w:t>
      </w:r>
      <w:r w:rsidR="0074193E">
        <w:t xml:space="preserve">iznose </w:t>
      </w:r>
      <w:r w:rsidR="0074193E" w:rsidRPr="0074193E">
        <w:t>81.738 eura</w:t>
      </w:r>
      <w:r w:rsidR="0074193E">
        <w:t xml:space="preserve">. </w:t>
      </w:r>
    </w:p>
    <w:p w14:paraId="1511C966" w14:textId="77777777" w:rsidR="0074193E" w:rsidRDefault="0074193E" w:rsidP="00A02495">
      <w:pPr>
        <w:pStyle w:val="Odlomakpopisa2"/>
      </w:pPr>
    </w:p>
    <w:p w14:paraId="2FF6A2F8" w14:textId="77777777" w:rsidR="00E83096" w:rsidRPr="0074193E" w:rsidRDefault="00E83096" w:rsidP="00A02495">
      <w:r w:rsidRPr="0074193E">
        <w:t xml:space="preserve">Temeljem Rješenja od 26. travnja 2018. godine, u sudski registar Trgovačkog suda u Pazinu upisan je Ugovor o prijenosu poslovnih udjela u trgovačkom društvu VSI – Vodovod Butoniga d.o.o. Buzet, kojim su članovi društva – jedinice lokalne samouprave, izvršili prijenos svojih poslovnih udjela javnim isporučiteljima vodnih usluga bez naknade, i to: Istarskom vodovodu d.o.o. Buzet 56,76% temeljnog kapitala ili </w:t>
      </w:r>
      <w:r w:rsidR="00CA7919" w:rsidRPr="0074193E">
        <w:t>150.666.93 eura</w:t>
      </w:r>
      <w:r w:rsidRPr="0074193E">
        <w:t xml:space="preserve"> i Vodovodu Pula d.o.o. Pula 43,24% temeljnog kapitala ili </w:t>
      </w:r>
      <w:r w:rsidR="00CA7919" w:rsidRPr="0074193E">
        <w:t>114.778,68 eura</w:t>
      </w:r>
      <w:r w:rsidRPr="0074193E">
        <w:t xml:space="preserve">. </w:t>
      </w:r>
    </w:p>
    <w:p w14:paraId="23D6CD73" w14:textId="77777777" w:rsidR="00BD59A2" w:rsidRPr="0074193E" w:rsidRDefault="00BD59A2" w:rsidP="00A02495"/>
    <w:p w14:paraId="029487F4" w14:textId="77777777" w:rsidR="00E83096" w:rsidRPr="0074193E" w:rsidRDefault="00CA7919" w:rsidP="00A02495">
      <w:r w:rsidRPr="0074193E">
        <w:t xml:space="preserve">Poslovni udjel  od 43,24% ili 114.778,69 </w:t>
      </w:r>
      <w:r w:rsidR="00B10F8E" w:rsidRPr="0074193E">
        <w:t>eura</w:t>
      </w:r>
      <w:r w:rsidRPr="0074193E">
        <w:t xml:space="preserve"> u temeljnom kapitalu trgovačkog društva VSI – Vodovod Butoniga d.o.o. Buzet 2018. godine je, sukladno usvojenoj računovodstvenoj politici,  vrijednosno usklađen do visine njegove nominalne vrijednosti, te njegova knjigovodstvena vrijednost iznosi nula.</w:t>
      </w:r>
    </w:p>
    <w:p w14:paraId="17304095" w14:textId="77777777" w:rsidR="00CA7919" w:rsidRPr="009013E3" w:rsidRDefault="00CA7919" w:rsidP="00A02495">
      <w:pPr>
        <w:rPr>
          <w:highlight w:val="magenta"/>
        </w:rPr>
      </w:pPr>
    </w:p>
    <w:p w14:paraId="2945E826" w14:textId="4C816E1B" w:rsidR="00E83096" w:rsidRDefault="00B6127F" w:rsidP="00A02495">
      <w:r w:rsidRPr="00A45514">
        <w:t xml:space="preserve">U okviru skupine </w:t>
      </w:r>
      <w:r w:rsidR="008B3B61" w:rsidRPr="00F023BB">
        <w:rPr>
          <w:b/>
          <w:bCs/>
        </w:rPr>
        <w:t>dugoročn</w:t>
      </w:r>
      <w:r w:rsidR="00F111D5" w:rsidRPr="00F023BB">
        <w:rPr>
          <w:b/>
          <w:bCs/>
        </w:rPr>
        <w:t>ih</w:t>
      </w:r>
      <w:r w:rsidR="008B3B61" w:rsidRPr="00F023BB">
        <w:rPr>
          <w:b/>
          <w:bCs/>
        </w:rPr>
        <w:t xml:space="preserve"> </w:t>
      </w:r>
      <w:r w:rsidR="004A2065" w:rsidRPr="00F023BB">
        <w:rPr>
          <w:b/>
          <w:bCs/>
        </w:rPr>
        <w:t>p</w:t>
      </w:r>
      <w:r w:rsidRPr="00F023BB">
        <w:rPr>
          <w:b/>
          <w:bCs/>
        </w:rPr>
        <w:t>otraživanja</w:t>
      </w:r>
      <w:r w:rsidRPr="00A45514">
        <w:t xml:space="preserve"> Društvo </w:t>
      </w:r>
      <w:r w:rsidR="00A45514" w:rsidRPr="00A45514">
        <w:t xml:space="preserve">ima evidentirano 120.511 eura odgođene porezne imovine koja se odnosi na </w:t>
      </w:r>
      <w:r w:rsidR="00CA7919" w:rsidRPr="00A45514">
        <w:t xml:space="preserve">obračunati porez na dobit po stopi od 18% po osnovi privremeno porezno nepriznatih rashoda vrijednosnog usklađenja udjela u društvu Luka Pula d.o.o. u iznosu od 77.017 </w:t>
      </w:r>
      <w:r w:rsidR="00B10F8E" w:rsidRPr="00A45514">
        <w:t>eura</w:t>
      </w:r>
      <w:r w:rsidR="00CA7919" w:rsidRPr="00A45514">
        <w:t xml:space="preserve"> preuzetog </w:t>
      </w:r>
      <w:r w:rsidR="004F603A" w:rsidRPr="00A45514">
        <w:t>od društva Pragrande d.o.o.,</w:t>
      </w:r>
      <w:r w:rsidR="00CA7919" w:rsidRPr="00A45514">
        <w:t xml:space="preserve"> te vrijednosnog usklađenja zaliha materijala i sirovina u iznosu od 43.494 </w:t>
      </w:r>
      <w:r w:rsidR="00B10F8E" w:rsidRPr="00A45514">
        <w:t>eura</w:t>
      </w:r>
      <w:r w:rsidR="00CA7919" w:rsidRPr="00A45514">
        <w:t>.</w:t>
      </w:r>
    </w:p>
    <w:p w14:paraId="250AD63F" w14:textId="77777777" w:rsidR="00A45514" w:rsidRPr="004F603A" w:rsidRDefault="00A45514" w:rsidP="00A02495"/>
    <w:p w14:paraId="79E7BF09" w14:textId="77777777" w:rsidR="00BD59A2" w:rsidRDefault="00BD59A2" w:rsidP="00A02495"/>
    <w:tbl>
      <w:tblPr>
        <w:tblW w:w="5000" w:type="pct"/>
        <w:tblLayout w:type="fixed"/>
        <w:tblCellMar>
          <w:left w:w="10" w:type="dxa"/>
          <w:right w:w="10" w:type="dxa"/>
        </w:tblCellMar>
        <w:tblLook w:val="04A0" w:firstRow="1" w:lastRow="0" w:firstColumn="1" w:lastColumn="0" w:noHBand="0" w:noVBand="1"/>
      </w:tblPr>
      <w:tblGrid>
        <w:gridCol w:w="9072"/>
      </w:tblGrid>
      <w:tr w:rsidR="004D2A2E" w14:paraId="5F91CA91" w14:textId="77777777" w:rsidTr="006C0F00">
        <w:trPr>
          <w:trHeight w:val="397"/>
        </w:trPr>
        <w:tc>
          <w:tcPr>
            <w:tcW w:w="9288" w:type="dxa"/>
            <w:shd w:val="clear" w:color="auto" w:fill="E7E7FF"/>
            <w:tcMar>
              <w:top w:w="0" w:type="dxa"/>
              <w:left w:w="108" w:type="dxa"/>
              <w:bottom w:w="0" w:type="dxa"/>
              <w:right w:w="108" w:type="dxa"/>
            </w:tcMar>
            <w:vAlign w:val="center"/>
          </w:tcPr>
          <w:p w14:paraId="4A98B62D" w14:textId="77777777" w:rsidR="004D2A2E" w:rsidRDefault="004D2A2E" w:rsidP="006C7AA7">
            <w:pPr>
              <w:pStyle w:val="Standard"/>
              <w:spacing w:after="0"/>
              <w:rPr>
                <w:rFonts w:ascii="Cambria" w:hAnsi="Cambria" w:cs="Arial"/>
                <w:b/>
                <w:color w:val="262626"/>
                <w:lang w:eastAsia="en-US"/>
              </w:rPr>
            </w:pPr>
            <w:r>
              <w:rPr>
                <w:rFonts w:ascii="Cambria" w:hAnsi="Cambria" w:cs="Arial"/>
                <w:b/>
                <w:color w:val="262626"/>
                <w:lang w:eastAsia="en-US"/>
              </w:rPr>
              <w:t>Kratkotrajna imovina</w:t>
            </w:r>
          </w:p>
        </w:tc>
      </w:tr>
    </w:tbl>
    <w:p w14:paraId="7714FDEE" w14:textId="77777777" w:rsidR="004D2A2E" w:rsidRDefault="004D2A2E" w:rsidP="00A02495">
      <w:pPr>
        <w:pStyle w:val="Odlomakpopisa"/>
      </w:pPr>
    </w:p>
    <w:p w14:paraId="7DB65B72" w14:textId="79370C5E" w:rsidR="000460AD" w:rsidRDefault="000460AD" w:rsidP="00A02495">
      <w:r w:rsidRPr="000460AD">
        <w:rPr>
          <w:b/>
          <w:bCs/>
        </w:rPr>
        <w:t>Kratkotrajna imovina</w:t>
      </w:r>
      <w:r w:rsidRPr="000460AD">
        <w:t xml:space="preserve"> na dan 31.12.2024. godine evidentirana je u iznosu od 14.738.133 eura. U odnosu na prethodnu godinu bilježi 17%-no smanjenje</w:t>
      </w:r>
      <w:r>
        <w:t xml:space="preserve"> kao rezultat 31%-nog smanjenja na poziciji danih zajmova, depozita i sl.</w:t>
      </w:r>
    </w:p>
    <w:p w14:paraId="2595A711" w14:textId="77777777" w:rsidR="000460AD" w:rsidRPr="000460AD" w:rsidRDefault="000460AD" w:rsidP="00A02495"/>
    <w:p w14:paraId="2F7F1033" w14:textId="0CDE8EF3" w:rsidR="0029541C" w:rsidRPr="00C26F50" w:rsidRDefault="00D17AAA" w:rsidP="00A02495">
      <w:r w:rsidRPr="000460AD">
        <w:rPr>
          <w:b/>
          <w:bCs/>
        </w:rPr>
        <w:t>Zalihe</w:t>
      </w:r>
      <w:r w:rsidRPr="00C26F50">
        <w:t xml:space="preserve"> su evidentirane u iznosu do </w:t>
      </w:r>
      <w:r w:rsidR="00C26F50" w:rsidRPr="00C26F50">
        <w:t>967.966</w:t>
      </w:r>
      <w:r w:rsidR="00B10F8E" w:rsidRPr="00C26F50">
        <w:t xml:space="preserve"> eura</w:t>
      </w:r>
      <w:r w:rsidR="00600CC5">
        <w:t xml:space="preserve"> </w:t>
      </w:r>
      <w:r w:rsidRPr="00C26F50">
        <w:t>a sastoje se od</w:t>
      </w:r>
      <w:r w:rsidR="0029541C" w:rsidRPr="00C26F50">
        <w:t>:</w:t>
      </w:r>
    </w:p>
    <w:p w14:paraId="389D3FD5" w14:textId="40DEBAA1" w:rsidR="0029541C" w:rsidRPr="00C26F50" w:rsidRDefault="0029541C" w:rsidP="0094608E">
      <w:pPr>
        <w:pStyle w:val="Odlomakpopisa"/>
        <w:numPr>
          <w:ilvl w:val="0"/>
          <w:numId w:val="12"/>
        </w:numPr>
        <w:ind w:left="426"/>
      </w:pPr>
      <w:r w:rsidRPr="00C26F50">
        <w:t>Materijal</w:t>
      </w:r>
      <w:r w:rsidR="00743B3B" w:rsidRPr="00C26F50">
        <w:t>a</w:t>
      </w:r>
      <w:r w:rsidRPr="00C26F50">
        <w:t xml:space="preserve"> u skladištu u iznosu </w:t>
      </w:r>
      <w:r w:rsidR="00C26F50" w:rsidRPr="00C26F50">
        <w:t>930.183</w:t>
      </w:r>
      <w:r w:rsidR="00B10F8E" w:rsidRPr="00C26F50">
        <w:t xml:space="preserve"> eura</w:t>
      </w:r>
    </w:p>
    <w:p w14:paraId="03A696EA" w14:textId="14C322F7" w:rsidR="0029541C" w:rsidRPr="00C26F50" w:rsidRDefault="0029541C" w:rsidP="0094608E">
      <w:pPr>
        <w:pStyle w:val="Odlomakpopisa"/>
        <w:numPr>
          <w:ilvl w:val="0"/>
          <w:numId w:val="12"/>
        </w:numPr>
        <w:ind w:left="426"/>
      </w:pPr>
      <w:r w:rsidRPr="00C26F50">
        <w:t xml:space="preserve">Rezervnih dijelova u skladištu u iznosu </w:t>
      </w:r>
      <w:r w:rsidR="00C26F50" w:rsidRPr="00C26F50">
        <w:t>25.455</w:t>
      </w:r>
      <w:r w:rsidR="00B10F8E" w:rsidRPr="00C26F50">
        <w:t xml:space="preserve"> eura</w:t>
      </w:r>
    </w:p>
    <w:p w14:paraId="28F83BE4" w14:textId="52923747" w:rsidR="00B10F8E" w:rsidRPr="00C26F50" w:rsidRDefault="00743B3B" w:rsidP="0094608E">
      <w:pPr>
        <w:pStyle w:val="Odlomakpopisa"/>
        <w:numPr>
          <w:ilvl w:val="0"/>
          <w:numId w:val="12"/>
        </w:numPr>
        <w:ind w:left="426"/>
      </w:pPr>
      <w:r w:rsidRPr="00C26F50">
        <w:t xml:space="preserve">Sitnog inventara u skladištu u iznosu </w:t>
      </w:r>
      <w:r w:rsidR="00B10F8E" w:rsidRPr="00C26F50">
        <w:t>11.</w:t>
      </w:r>
      <w:r w:rsidR="00C26F50" w:rsidRPr="00C26F50">
        <w:t>438</w:t>
      </w:r>
      <w:r w:rsidR="00B10F8E" w:rsidRPr="00C26F50">
        <w:t xml:space="preserve"> eura</w:t>
      </w:r>
    </w:p>
    <w:p w14:paraId="561E6C19" w14:textId="77777777" w:rsidR="0029541C" w:rsidRDefault="00B10F8E" w:rsidP="0094608E">
      <w:pPr>
        <w:pStyle w:val="Odlomakpopisa"/>
        <w:numPr>
          <w:ilvl w:val="0"/>
          <w:numId w:val="12"/>
        </w:numPr>
        <w:ind w:left="426"/>
      </w:pPr>
      <w:r w:rsidRPr="00C26F50">
        <w:t>Predujmovi za materijal u iznosu 890 eura.</w:t>
      </w:r>
    </w:p>
    <w:p w14:paraId="6825E5DA" w14:textId="329EE0FF" w:rsidR="00D17AAA" w:rsidRPr="00C26F50" w:rsidRDefault="00B10F8E" w:rsidP="00A02495">
      <w:r w:rsidRPr="00C26F50">
        <w:lastRenderedPageBreak/>
        <w:t>U odnosu na prethodno razdoblje zabilježeno je p</w:t>
      </w:r>
      <w:r w:rsidR="00D17AAA" w:rsidRPr="00C26F50">
        <w:t xml:space="preserve">ovećanje istih </w:t>
      </w:r>
      <w:r w:rsidR="00283845" w:rsidRPr="00C26F50">
        <w:t xml:space="preserve">u iznosu </w:t>
      </w:r>
      <w:r w:rsidR="00C26F50" w:rsidRPr="00C26F50">
        <w:t>101.894</w:t>
      </w:r>
      <w:r w:rsidR="004F603A" w:rsidRPr="00C26F50">
        <w:t xml:space="preserve"> eura, </w:t>
      </w:r>
      <w:r w:rsidR="003E083F" w:rsidRPr="00C26F50">
        <w:t xml:space="preserve">najviše </w:t>
      </w:r>
      <w:r w:rsidR="004F603A" w:rsidRPr="00C26F50">
        <w:t>zbog povećanja zaliha materijala u skladištu</w:t>
      </w:r>
      <w:r w:rsidR="00C26F50" w:rsidRPr="00C26F50">
        <w:t>.</w:t>
      </w:r>
      <w:r w:rsidR="004F603A" w:rsidRPr="00C26F50">
        <w:t xml:space="preserve"> </w:t>
      </w:r>
    </w:p>
    <w:p w14:paraId="10EFD62F" w14:textId="77777777" w:rsidR="00D17AAA" w:rsidRPr="00C26F50" w:rsidRDefault="00D17AAA" w:rsidP="00A02495"/>
    <w:p w14:paraId="36E493E7" w14:textId="79418420" w:rsidR="00D75D33" w:rsidRPr="00D75D33" w:rsidRDefault="00D75D33" w:rsidP="00A02495">
      <w:r w:rsidRPr="00D75D33">
        <w:t xml:space="preserve">Na dan 31.12.2024. godine ukupna </w:t>
      </w:r>
      <w:r w:rsidR="000460AD" w:rsidRPr="00F82AD5">
        <w:rPr>
          <w:b/>
          <w:bCs/>
        </w:rPr>
        <w:t>kratkotrajna</w:t>
      </w:r>
      <w:r w:rsidRPr="00F82AD5">
        <w:rPr>
          <w:b/>
          <w:bCs/>
        </w:rPr>
        <w:t xml:space="preserve"> potraživanja</w:t>
      </w:r>
      <w:r w:rsidRPr="00D75D33">
        <w:t xml:space="preserve"> iznose 3.</w:t>
      </w:r>
      <w:r w:rsidR="00E81546">
        <w:t>242.83</w:t>
      </w:r>
      <w:r w:rsidR="00E2625F">
        <w:t>1</w:t>
      </w:r>
      <w:r w:rsidRPr="00D75D33">
        <w:t xml:space="preserve"> eura, što je za </w:t>
      </w:r>
      <w:r w:rsidR="00E81546">
        <w:t>5</w:t>
      </w:r>
      <w:r w:rsidRPr="00D75D33">
        <w:t>% više u odnosu na početno stanje.</w:t>
      </w:r>
    </w:p>
    <w:p w14:paraId="65259208" w14:textId="77777777" w:rsidR="00C65F4B" w:rsidRPr="009013E3" w:rsidRDefault="00C65F4B" w:rsidP="00A02495">
      <w:pPr>
        <w:rPr>
          <w:highlight w:val="magenta"/>
        </w:rPr>
      </w:pPr>
    </w:p>
    <w:p w14:paraId="6D6038C3" w14:textId="1EA123EB" w:rsidR="00B10F8E" w:rsidRPr="000460AD" w:rsidRDefault="00B10F8E" w:rsidP="00A02495">
      <w:r w:rsidRPr="00F82AD5">
        <w:rPr>
          <w:b/>
          <w:bCs/>
        </w:rPr>
        <w:t>Potraživanja o</w:t>
      </w:r>
      <w:r w:rsidR="003E083F" w:rsidRPr="00F82AD5">
        <w:rPr>
          <w:b/>
          <w:bCs/>
        </w:rPr>
        <w:t>d</w:t>
      </w:r>
      <w:r w:rsidRPr="00F82AD5">
        <w:rPr>
          <w:b/>
          <w:bCs/>
        </w:rPr>
        <w:t xml:space="preserve"> sudjelujućih poduzetnika</w:t>
      </w:r>
      <w:r w:rsidRPr="000460AD">
        <w:t xml:space="preserve">, odnosi se na potraživanja od VSI-Vodoopskrbnog sustava Butoniga d.o.o. Buzet u iznosu </w:t>
      </w:r>
      <w:r w:rsidR="000460AD" w:rsidRPr="000460AD">
        <w:t>72.674</w:t>
      </w:r>
      <w:r w:rsidRPr="000460AD">
        <w:t xml:space="preserve"> eura.</w:t>
      </w:r>
    </w:p>
    <w:p w14:paraId="1F6E7459" w14:textId="77777777" w:rsidR="00B10F8E" w:rsidRPr="009013E3" w:rsidRDefault="00B10F8E" w:rsidP="00A02495">
      <w:pPr>
        <w:rPr>
          <w:highlight w:val="magenta"/>
        </w:rPr>
      </w:pPr>
    </w:p>
    <w:p w14:paraId="6B723633" w14:textId="2E4D4126" w:rsidR="00D17AAA" w:rsidRDefault="00D17AAA" w:rsidP="00A02495">
      <w:r w:rsidRPr="000460AD">
        <w:t xml:space="preserve">Na kraju izvještajnog razdoblja ukupna </w:t>
      </w:r>
      <w:r w:rsidRPr="00F82AD5">
        <w:rPr>
          <w:b/>
          <w:bCs/>
        </w:rPr>
        <w:t>potraživanja</w:t>
      </w:r>
      <w:r w:rsidR="00A11095" w:rsidRPr="00F82AD5">
        <w:rPr>
          <w:b/>
          <w:bCs/>
        </w:rPr>
        <w:t xml:space="preserve"> od kupaca</w:t>
      </w:r>
      <w:r w:rsidRPr="000460AD">
        <w:t xml:space="preserve"> su iznosila </w:t>
      </w:r>
      <w:r w:rsidR="000460AD" w:rsidRPr="000460AD">
        <w:t>3.006.988</w:t>
      </w:r>
      <w:r w:rsidR="003E083F" w:rsidRPr="000460AD">
        <w:t xml:space="preserve"> eura</w:t>
      </w:r>
      <w:r w:rsidRPr="000460AD">
        <w:t xml:space="preserve"> te je evidentiran </w:t>
      </w:r>
      <w:r w:rsidR="0009580D" w:rsidRPr="000460AD">
        <w:t>porast</w:t>
      </w:r>
      <w:r w:rsidRPr="000460AD">
        <w:t xml:space="preserve"> od </w:t>
      </w:r>
      <w:r w:rsidR="000460AD" w:rsidRPr="000460AD">
        <w:t>8</w:t>
      </w:r>
      <w:r w:rsidRPr="000460AD">
        <w:t xml:space="preserve">% u odnosu na </w:t>
      </w:r>
      <w:r w:rsidR="00E012C5">
        <w:t>početno stanje</w:t>
      </w:r>
      <w:r w:rsidRPr="000460AD">
        <w:t>. Struktura istih dana je u nastavku:</w:t>
      </w:r>
      <w:r>
        <w:t xml:space="preserve"> </w:t>
      </w:r>
    </w:p>
    <w:p w14:paraId="17962164" w14:textId="77777777" w:rsidR="00B10F8E" w:rsidRDefault="00B10F8E" w:rsidP="00A02495"/>
    <w:tbl>
      <w:tblPr>
        <w:tblW w:w="8500" w:type="dxa"/>
        <w:tblInd w:w="93" w:type="dxa"/>
        <w:tblBorders>
          <w:top w:val="single" w:sz="4" w:space="0" w:color="BFBFBF" w:themeColor="background1" w:themeShade="BF"/>
          <w:bottom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6160"/>
        <w:gridCol w:w="1300"/>
        <w:gridCol w:w="1040"/>
      </w:tblGrid>
      <w:tr w:rsidR="00B10F8E" w:rsidRPr="005347D5" w14:paraId="14C20750" w14:textId="77777777" w:rsidTr="005347D5">
        <w:trPr>
          <w:trHeight w:val="315"/>
        </w:trPr>
        <w:tc>
          <w:tcPr>
            <w:tcW w:w="6160" w:type="dxa"/>
            <w:tcBorders>
              <w:top w:val="single" w:sz="8" w:space="0" w:color="404040" w:themeColor="text1" w:themeTint="BF"/>
              <w:bottom w:val="single" w:sz="8" w:space="0" w:color="404040" w:themeColor="text1" w:themeTint="BF"/>
            </w:tcBorders>
            <w:shd w:val="clear" w:color="000000" w:fill="D9D9D9"/>
            <w:vAlign w:val="center"/>
            <w:hideMark/>
          </w:tcPr>
          <w:p w14:paraId="758BAB4D" w14:textId="428C646E" w:rsidR="00B10F8E" w:rsidRPr="006A729E" w:rsidRDefault="00B10F8E" w:rsidP="00A02495">
            <w:pPr>
              <w:rPr>
                <w:b/>
                <w:bCs/>
                <w:sz w:val="18"/>
                <w:szCs w:val="18"/>
                <w:lang w:eastAsia="hr-HR"/>
              </w:rPr>
            </w:pPr>
            <w:r w:rsidRPr="006A729E">
              <w:rPr>
                <w:b/>
                <w:bCs/>
                <w:sz w:val="18"/>
                <w:szCs w:val="18"/>
                <w:lang w:eastAsia="hr-HR"/>
              </w:rPr>
              <w:t>Struktura potraživanja dan 31.12.202</w:t>
            </w:r>
            <w:r w:rsidR="007859C3" w:rsidRPr="006A729E">
              <w:rPr>
                <w:b/>
                <w:bCs/>
                <w:sz w:val="18"/>
                <w:szCs w:val="18"/>
                <w:lang w:eastAsia="hr-HR"/>
              </w:rPr>
              <w:t>4</w:t>
            </w:r>
            <w:r w:rsidRPr="006A729E">
              <w:rPr>
                <w:b/>
                <w:bCs/>
                <w:sz w:val="18"/>
                <w:szCs w:val="18"/>
                <w:lang w:eastAsia="hr-HR"/>
              </w:rPr>
              <w:t>.</w:t>
            </w:r>
          </w:p>
        </w:tc>
        <w:tc>
          <w:tcPr>
            <w:tcW w:w="1300" w:type="dxa"/>
            <w:tcBorders>
              <w:top w:val="single" w:sz="8" w:space="0" w:color="404040" w:themeColor="text1" w:themeTint="BF"/>
              <w:bottom w:val="single" w:sz="8" w:space="0" w:color="404040" w:themeColor="text1" w:themeTint="BF"/>
            </w:tcBorders>
            <w:shd w:val="clear" w:color="000000" w:fill="D9D9D9"/>
            <w:vAlign w:val="center"/>
            <w:hideMark/>
          </w:tcPr>
          <w:p w14:paraId="47C285E3" w14:textId="77777777" w:rsidR="00DC6109" w:rsidRPr="00DC6109" w:rsidRDefault="00DC6109" w:rsidP="005347D5">
            <w:pPr>
              <w:jc w:val="center"/>
              <w:rPr>
                <w:b/>
                <w:bCs/>
                <w:sz w:val="18"/>
                <w:szCs w:val="18"/>
                <w:lang w:eastAsia="hr-HR"/>
              </w:rPr>
            </w:pPr>
            <w:r w:rsidRPr="00DC6109">
              <w:rPr>
                <w:b/>
                <w:bCs/>
                <w:sz w:val="18"/>
                <w:szCs w:val="18"/>
                <w:lang w:eastAsia="hr-HR"/>
              </w:rPr>
              <w:t>Iznos</w:t>
            </w:r>
          </w:p>
          <w:p w14:paraId="0A37AF19" w14:textId="47B1BBBD" w:rsidR="00B10F8E" w:rsidRPr="00BE42ED" w:rsidRDefault="00DC6109" w:rsidP="005347D5">
            <w:pPr>
              <w:jc w:val="center"/>
              <w:rPr>
                <w:b/>
                <w:bCs/>
                <w:sz w:val="18"/>
                <w:szCs w:val="18"/>
                <w:highlight w:val="cyan"/>
                <w:lang w:eastAsia="hr-HR"/>
              </w:rPr>
            </w:pPr>
            <w:r w:rsidRPr="00DC6109">
              <w:rPr>
                <w:b/>
                <w:bCs/>
                <w:sz w:val="18"/>
                <w:szCs w:val="18"/>
                <w:lang w:eastAsia="hr-HR"/>
              </w:rPr>
              <w:t>(u eurima)</w:t>
            </w:r>
            <w:r w:rsidR="00BE42ED" w:rsidRPr="00DC6109">
              <w:rPr>
                <w:b/>
                <w:bCs/>
                <w:sz w:val="18"/>
                <w:szCs w:val="18"/>
                <w:lang w:eastAsia="hr-HR"/>
              </w:rPr>
              <w:t xml:space="preserve"> </w:t>
            </w:r>
          </w:p>
        </w:tc>
        <w:tc>
          <w:tcPr>
            <w:tcW w:w="1040" w:type="dxa"/>
            <w:tcBorders>
              <w:top w:val="single" w:sz="8" w:space="0" w:color="404040" w:themeColor="text1" w:themeTint="BF"/>
              <w:bottom w:val="single" w:sz="8" w:space="0" w:color="404040" w:themeColor="text1" w:themeTint="BF"/>
            </w:tcBorders>
            <w:shd w:val="clear" w:color="000000" w:fill="D9D9D9"/>
            <w:vAlign w:val="center"/>
            <w:hideMark/>
          </w:tcPr>
          <w:p w14:paraId="15450AF5" w14:textId="77777777" w:rsidR="00B10F8E" w:rsidRPr="005347D5" w:rsidRDefault="00B10F8E" w:rsidP="005347D5">
            <w:pPr>
              <w:jc w:val="center"/>
              <w:rPr>
                <w:b/>
                <w:bCs/>
                <w:sz w:val="18"/>
                <w:szCs w:val="18"/>
                <w:highlight w:val="cyan"/>
                <w:lang w:eastAsia="hr-HR"/>
              </w:rPr>
            </w:pPr>
            <w:r w:rsidRPr="006A729E">
              <w:rPr>
                <w:b/>
                <w:bCs/>
                <w:sz w:val="18"/>
                <w:szCs w:val="18"/>
                <w:lang w:eastAsia="hr-HR"/>
              </w:rPr>
              <w:t>Udio (%)</w:t>
            </w:r>
          </w:p>
        </w:tc>
      </w:tr>
      <w:tr w:rsidR="005B1175" w:rsidRPr="005347D5" w14:paraId="314BEFA8" w14:textId="77777777" w:rsidTr="00FB62BC">
        <w:trPr>
          <w:trHeight w:val="300"/>
        </w:trPr>
        <w:tc>
          <w:tcPr>
            <w:tcW w:w="6160" w:type="dxa"/>
            <w:tcBorders>
              <w:top w:val="single" w:sz="8" w:space="0" w:color="404040" w:themeColor="text1" w:themeTint="BF"/>
            </w:tcBorders>
            <w:shd w:val="clear" w:color="auto" w:fill="auto"/>
            <w:noWrap/>
            <w:vAlign w:val="bottom"/>
            <w:hideMark/>
          </w:tcPr>
          <w:p w14:paraId="729F4547" w14:textId="77777777" w:rsidR="005B1175" w:rsidRPr="006A729E" w:rsidRDefault="005B1175" w:rsidP="005B1175">
            <w:pPr>
              <w:rPr>
                <w:sz w:val="18"/>
                <w:szCs w:val="18"/>
                <w:lang w:eastAsia="hr-HR"/>
              </w:rPr>
            </w:pPr>
            <w:r w:rsidRPr="006A729E">
              <w:rPr>
                <w:sz w:val="18"/>
                <w:szCs w:val="18"/>
                <w:lang w:eastAsia="hr-HR"/>
              </w:rPr>
              <w:t>Potraživanje od pravnih osoba, obrtnika</w:t>
            </w:r>
          </w:p>
        </w:tc>
        <w:tc>
          <w:tcPr>
            <w:tcW w:w="1300" w:type="dxa"/>
            <w:tcBorders>
              <w:top w:val="single" w:sz="8" w:space="0" w:color="404040" w:themeColor="text1" w:themeTint="BF"/>
            </w:tcBorders>
            <w:shd w:val="clear" w:color="auto" w:fill="auto"/>
            <w:hideMark/>
          </w:tcPr>
          <w:p w14:paraId="63319DFE" w14:textId="370233A8" w:rsidR="005B1175" w:rsidRPr="005B1175" w:rsidRDefault="005B1175" w:rsidP="005B1175">
            <w:pPr>
              <w:jc w:val="right"/>
              <w:rPr>
                <w:sz w:val="18"/>
                <w:szCs w:val="18"/>
                <w:highlight w:val="cyan"/>
                <w:lang w:eastAsia="hr-HR"/>
              </w:rPr>
            </w:pPr>
            <w:r w:rsidRPr="005B1175">
              <w:rPr>
                <w:sz w:val="18"/>
                <w:szCs w:val="18"/>
              </w:rPr>
              <w:t xml:space="preserve"> 1.126.719    </w:t>
            </w:r>
          </w:p>
        </w:tc>
        <w:tc>
          <w:tcPr>
            <w:tcW w:w="1040" w:type="dxa"/>
            <w:tcBorders>
              <w:top w:val="single" w:sz="8" w:space="0" w:color="404040" w:themeColor="text1" w:themeTint="BF"/>
            </w:tcBorders>
            <w:shd w:val="clear" w:color="auto" w:fill="auto"/>
            <w:hideMark/>
          </w:tcPr>
          <w:p w14:paraId="0186F404" w14:textId="15DB62E0" w:rsidR="005B1175" w:rsidRPr="005B1175" w:rsidRDefault="005B1175" w:rsidP="005B1175">
            <w:pPr>
              <w:rPr>
                <w:sz w:val="18"/>
                <w:szCs w:val="18"/>
                <w:highlight w:val="cyan"/>
                <w:lang w:eastAsia="hr-HR"/>
              </w:rPr>
            </w:pPr>
            <w:r w:rsidRPr="005B1175">
              <w:rPr>
                <w:sz w:val="18"/>
                <w:szCs w:val="18"/>
              </w:rPr>
              <w:t>32%</w:t>
            </w:r>
          </w:p>
        </w:tc>
      </w:tr>
      <w:tr w:rsidR="005B1175" w:rsidRPr="005347D5" w14:paraId="008C8404" w14:textId="77777777" w:rsidTr="00FB62BC">
        <w:trPr>
          <w:trHeight w:val="300"/>
        </w:trPr>
        <w:tc>
          <w:tcPr>
            <w:tcW w:w="6160" w:type="dxa"/>
            <w:shd w:val="clear" w:color="auto" w:fill="auto"/>
            <w:noWrap/>
            <w:vAlign w:val="bottom"/>
            <w:hideMark/>
          </w:tcPr>
          <w:p w14:paraId="4935CE55" w14:textId="77777777" w:rsidR="005B1175" w:rsidRPr="006A729E" w:rsidRDefault="005B1175" w:rsidP="005B1175">
            <w:pPr>
              <w:rPr>
                <w:sz w:val="18"/>
                <w:szCs w:val="18"/>
                <w:lang w:eastAsia="hr-HR"/>
              </w:rPr>
            </w:pPr>
            <w:r w:rsidRPr="006A729E">
              <w:rPr>
                <w:sz w:val="18"/>
                <w:szCs w:val="18"/>
                <w:lang w:eastAsia="hr-HR"/>
              </w:rPr>
              <w:t>Potraživanje od pravnih osoba, obrtnika (potraživanja u sporu)</w:t>
            </w:r>
          </w:p>
        </w:tc>
        <w:tc>
          <w:tcPr>
            <w:tcW w:w="1300" w:type="dxa"/>
            <w:shd w:val="clear" w:color="auto" w:fill="auto"/>
            <w:hideMark/>
          </w:tcPr>
          <w:p w14:paraId="3039711A" w14:textId="115CD2DD" w:rsidR="005B1175" w:rsidRPr="005B1175" w:rsidRDefault="005B1175" w:rsidP="005B1175">
            <w:pPr>
              <w:jc w:val="right"/>
              <w:rPr>
                <w:sz w:val="18"/>
                <w:szCs w:val="18"/>
                <w:highlight w:val="cyan"/>
                <w:lang w:eastAsia="hr-HR"/>
              </w:rPr>
            </w:pPr>
            <w:r w:rsidRPr="005B1175">
              <w:rPr>
                <w:sz w:val="18"/>
                <w:szCs w:val="18"/>
              </w:rPr>
              <w:t xml:space="preserve"> 63.690 </w:t>
            </w:r>
          </w:p>
        </w:tc>
        <w:tc>
          <w:tcPr>
            <w:tcW w:w="1040" w:type="dxa"/>
            <w:shd w:val="clear" w:color="auto" w:fill="auto"/>
            <w:hideMark/>
          </w:tcPr>
          <w:p w14:paraId="26B4C8EA" w14:textId="18A28EE1" w:rsidR="005B1175" w:rsidRPr="005B1175" w:rsidRDefault="005B1175" w:rsidP="005B1175">
            <w:pPr>
              <w:rPr>
                <w:sz w:val="18"/>
                <w:szCs w:val="18"/>
                <w:highlight w:val="cyan"/>
                <w:lang w:eastAsia="hr-HR"/>
              </w:rPr>
            </w:pPr>
            <w:r w:rsidRPr="005B1175">
              <w:rPr>
                <w:sz w:val="18"/>
                <w:szCs w:val="18"/>
              </w:rPr>
              <w:t>2%</w:t>
            </w:r>
          </w:p>
        </w:tc>
      </w:tr>
      <w:tr w:rsidR="005B1175" w:rsidRPr="005347D5" w14:paraId="232029F3" w14:textId="77777777" w:rsidTr="00FB62BC">
        <w:trPr>
          <w:trHeight w:val="300"/>
        </w:trPr>
        <w:tc>
          <w:tcPr>
            <w:tcW w:w="6160" w:type="dxa"/>
            <w:shd w:val="clear" w:color="auto" w:fill="auto"/>
            <w:noWrap/>
            <w:vAlign w:val="bottom"/>
            <w:hideMark/>
          </w:tcPr>
          <w:p w14:paraId="29B13A1D" w14:textId="77777777" w:rsidR="005B1175" w:rsidRPr="006A729E" w:rsidRDefault="005B1175" w:rsidP="005B1175">
            <w:pPr>
              <w:rPr>
                <w:sz w:val="18"/>
                <w:szCs w:val="18"/>
                <w:lang w:eastAsia="hr-HR"/>
              </w:rPr>
            </w:pPr>
            <w:r w:rsidRPr="006A729E">
              <w:rPr>
                <w:sz w:val="18"/>
                <w:szCs w:val="18"/>
                <w:lang w:eastAsia="hr-HR"/>
              </w:rPr>
              <w:t>Potraživanja od pravnih osoba (stečaj, predstečajne nagodbe)</w:t>
            </w:r>
          </w:p>
        </w:tc>
        <w:tc>
          <w:tcPr>
            <w:tcW w:w="1300" w:type="dxa"/>
            <w:shd w:val="clear" w:color="auto" w:fill="auto"/>
            <w:hideMark/>
          </w:tcPr>
          <w:p w14:paraId="0F0F27E8" w14:textId="3AD72F5C" w:rsidR="005B1175" w:rsidRPr="005B1175" w:rsidRDefault="005B1175" w:rsidP="005B1175">
            <w:pPr>
              <w:jc w:val="right"/>
              <w:rPr>
                <w:sz w:val="18"/>
                <w:szCs w:val="18"/>
                <w:highlight w:val="cyan"/>
                <w:lang w:eastAsia="hr-HR"/>
              </w:rPr>
            </w:pPr>
            <w:r w:rsidRPr="005B1175">
              <w:rPr>
                <w:sz w:val="18"/>
                <w:szCs w:val="18"/>
              </w:rPr>
              <w:t xml:space="preserve"> 336.490 </w:t>
            </w:r>
          </w:p>
        </w:tc>
        <w:tc>
          <w:tcPr>
            <w:tcW w:w="1040" w:type="dxa"/>
            <w:shd w:val="clear" w:color="auto" w:fill="auto"/>
            <w:hideMark/>
          </w:tcPr>
          <w:p w14:paraId="537AA531" w14:textId="2EDD8387" w:rsidR="005B1175" w:rsidRPr="005B1175" w:rsidRDefault="005B1175" w:rsidP="005B1175">
            <w:pPr>
              <w:rPr>
                <w:sz w:val="18"/>
                <w:szCs w:val="18"/>
                <w:highlight w:val="cyan"/>
                <w:lang w:eastAsia="hr-HR"/>
              </w:rPr>
            </w:pPr>
            <w:r w:rsidRPr="005B1175">
              <w:rPr>
                <w:sz w:val="18"/>
                <w:szCs w:val="18"/>
              </w:rPr>
              <w:t>10%</w:t>
            </w:r>
          </w:p>
        </w:tc>
      </w:tr>
      <w:tr w:rsidR="005B1175" w:rsidRPr="005347D5" w14:paraId="09E8C12C" w14:textId="77777777" w:rsidTr="00FB62BC">
        <w:trPr>
          <w:trHeight w:val="300"/>
        </w:trPr>
        <w:tc>
          <w:tcPr>
            <w:tcW w:w="6160" w:type="dxa"/>
            <w:shd w:val="clear" w:color="auto" w:fill="auto"/>
            <w:noWrap/>
            <w:vAlign w:val="bottom"/>
            <w:hideMark/>
          </w:tcPr>
          <w:p w14:paraId="23F602AE" w14:textId="77777777" w:rsidR="005B1175" w:rsidRPr="006A729E" w:rsidRDefault="005B1175" w:rsidP="005B1175">
            <w:pPr>
              <w:rPr>
                <w:sz w:val="18"/>
                <w:szCs w:val="18"/>
                <w:lang w:eastAsia="hr-HR"/>
              </w:rPr>
            </w:pPr>
            <w:r w:rsidRPr="006A729E">
              <w:rPr>
                <w:sz w:val="18"/>
                <w:szCs w:val="18"/>
                <w:lang w:eastAsia="hr-HR"/>
              </w:rPr>
              <w:t>Potraživanja od domaćinstva</w:t>
            </w:r>
          </w:p>
        </w:tc>
        <w:tc>
          <w:tcPr>
            <w:tcW w:w="1300" w:type="dxa"/>
            <w:shd w:val="clear" w:color="auto" w:fill="auto"/>
            <w:hideMark/>
          </w:tcPr>
          <w:p w14:paraId="2FD197EA" w14:textId="03281354" w:rsidR="005B1175" w:rsidRPr="005B1175" w:rsidRDefault="005B1175" w:rsidP="005B1175">
            <w:pPr>
              <w:jc w:val="right"/>
              <w:rPr>
                <w:sz w:val="18"/>
                <w:szCs w:val="18"/>
                <w:highlight w:val="cyan"/>
                <w:lang w:eastAsia="hr-HR"/>
              </w:rPr>
            </w:pPr>
            <w:r w:rsidRPr="005B1175">
              <w:rPr>
                <w:sz w:val="18"/>
                <w:szCs w:val="18"/>
              </w:rPr>
              <w:t xml:space="preserve">1.551.844 </w:t>
            </w:r>
          </w:p>
        </w:tc>
        <w:tc>
          <w:tcPr>
            <w:tcW w:w="1040" w:type="dxa"/>
            <w:shd w:val="clear" w:color="auto" w:fill="auto"/>
            <w:hideMark/>
          </w:tcPr>
          <w:p w14:paraId="16BDC985" w14:textId="70D0DA27" w:rsidR="005B1175" w:rsidRPr="005B1175" w:rsidRDefault="005B1175" w:rsidP="005B1175">
            <w:pPr>
              <w:rPr>
                <w:sz w:val="18"/>
                <w:szCs w:val="18"/>
                <w:highlight w:val="cyan"/>
                <w:lang w:eastAsia="hr-HR"/>
              </w:rPr>
            </w:pPr>
            <w:r w:rsidRPr="005B1175">
              <w:rPr>
                <w:sz w:val="18"/>
                <w:szCs w:val="18"/>
              </w:rPr>
              <w:t>44%</w:t>
            </w:r>
          </w:p>
        </w:tc>
      </w:tr>
      <w:tr w:rsidR="005B1175" w:rsidRPr="005347D5" w14:paraId="36684951" w14:textId="77777777" w:rsidTr="00FB62BC">
        <w:trPr>
          <w:trHeight w:val="300"/>
        </w:trPr>
        <w:tc>
          <w:tcPr>
            <w:tcW w:w="6160" w:type="dxa"/>
            <w:shd w:val="clear" w:color="auto" w:fill="auto"/>
            <w:noWrap/>
            <w:vAlign w:val="bottom"/>
            <w:hideMark/>
          </w:tcPr>
          <w:p w14:paraId="41475DE5" w14:textId="77777777" w:rsidR="005B1175" w:rsidRPr="006A729E" w:rsidRDefault="005B1175" w:rsidP="005B1175">
            <w:pPr>
              <w:rPr>
                <w:sz w:val="18"/>
                <w:szCs w:val="18"/>
                <w:lang w:eastAsia="hr-HR"/>
              </w:rPr>
            </w:pPr>
            <w:r w:rsidRPr="006A729E">
              <w:rPr>
                <w:sz w:val="18"/>
                <w:szCs w:val="18"/>
                <w:lang w:eastAsia="hr-HR"/>
              </w:rPr>
              <w:t>Potraživanja od domaćinstva (potraživanja u sporu)</w:t>
            </w:r>
          </w:p>
        </w:tc>
        <w:tc>
          <w:tcPr>
            <w:tcW w:w="1300" w:type="dxa"/>
            <w:shd w:val="clear" w:color="auto" w:fill="auto"/>
            <w:hideMark/>
          </w:tcPr>
          <w:p w14:paraId="69E9FAC6" w14:textId="2E0558A0" w:rsidR="005B1175" w:rsidRPr="005B1175" w:rsidRDefault="005B1175" w:rsidP="005B1175">
            <w:pPr>
              <w:jc w:val="right"/>
              <w:rPr>
                <w:sz w:val="18"/>
                <w:szCs w:val="18"/>
              </w:rPr>
            </w:pPr>
            <w:r w:rsidRPr="005B1175">
              <w:rPr>
                <w:sz w:val="18"/>
                <w:szCs w:val="18"/>
              </w:rPr>
              <w:t xml:space="preserve"> 458.010 </w:t>
            </w:r>
          </w:p>
        </w:tc>
        <w:tc>
          <w:tcPr>
            <w:tcW w:w="1040" w:type="dxa"/>
            <w:shd w:val="clear" w:color="auto" w:fill="auto"/>
            <w:hideMark/>
          </w:tcPr>
          <w:p w14:paraId="50465CF0" w14:textId="24BAAC2D" w:rsidR="005B1175" w:rsidRPr="005B1175" w:rsidRDefault="005B1175" w:rsidP="005B1175">
            <w:pPr>
              <w:rPr>
                <w:sz w:val="18"/>
                <w:szCs w:val="18"/>
                <w:highlight w:val="cyan"/>
                <w:lang w:eastAsia="hr-HR"/>
              </w:rPr>
            </w:pPr>
            <w:r w:rsidRPr="005B1175">
              <w:rPr>
                <w:sz w:val="18"/>
                <w:szCs w:val="18"/>
              </w:rPr>
              <w:t>13%</w:t>
            </w:r>
          </w:p>
        </w:tc>
      </w:tr>
      <w:tr w:rsidR="005B1175" w:rsidRPr="005347D5" w14:paraId="0765EAEF" w14:textId="77777777" w:rsidTr="00FB62BC">
        <w:trPr>
          <w:trHeight w:val="300"/>
        </w:trPr>
        <w:tc>
          <w:tcPr>
            <w:tcW w:w="6160" w:type="dxa"/>
            <w:shd w:val="clear" w:color="auto" w:fill="auto"/>
            <w:noWrap/>
            <w:vAlign w:val="bottom"/>
            <w:hideMark/>
          </w:tcPr>
          <w:p w14:paraId="59D17201" w14:textId="070F3C15" w:rsidR="005B1175" w:rsidRPr="006A729E" w:rsidRDefault="005B1175" w:rsidP="005B1175">
            <w:pPr>
              <w:rPr>
                <w:sz w:val="18"/>
                <w:szCs w:val="18"/>
                <w:lang w:eastAsia="hr-HR"/>
              </w:rPr>
            </w:pPr>
            <w:r w:rsidRPr="006A729E">
              <w:rPr>
                <w:sz w:val="18"/>
                <w:szCs w:val="18"/>
                <w:lang w:eastAsia="hr-HR"/>
              </w:rPr>
              <w:t xml:space="preserve">Ukupno </w:t>
            </w:r>
          </w:p>
        </w:tc>
        <w:tc>
          <w:tcPr>
            <w:tcW w:w="1300" w:type="dxa"/>
            <w:shd w:val="clear" w:color="auto" w:fill="auto"/>
            <w:hideMark/>
          </w:tcPr>
          <w:p w14:paraId="530F7870" w14:textId="76BA70C0" w:rsidR="005B1175" w:rsidRPr="005B1175" w:rsidRDefault="005B1175" w:rsidP="005B1175">
            <w:pPr>
              <w:jc w:val="right"/>
              <w:rPr>
                <w:sz w:val="18"/>
                <w:szCs w:val="18"/>
                <w:highlight w:val="cyan"/>
                <w:lang w:eastAsia="hr-HR"/>
              </w:rPr>
            </w:pPr>
            <w:r w:rsidRPr="005B1175">
              <w:rPr>
                <w:sz w:val="18"/>
                <w:szCs w:val="18"/>
              </w:rPr>
              <w:t xml:space="preserve"> 3.536.753    </w:t>
            </w:r>
          </w:p>
        </w:tc>
        <w:tc>
          <w:tcPr>
            <w:tcW w:w="1040" w:type="dxa"/>
            <w:shd w:val="clear" w:color="auto" w:fill="auto"/>
            <w:hideMark/>
          </w:tcPr>
          <w:p w14:paraId="138C45FE" w14:textId="5F22AB45" w:rsidR="005B1175" w:rsidRPr="005B1175" w:rsidRDefault="005B1175" w:rsidP="005B1175">
            <w:pPr>
              <w:rPr>
                <w:sz w:val="18"/>
                <w:szCs w:val="18"/>
                <w:highlight w:val="cyan"/>
                <w:lang w:eastAsia="hr-HR"/>
              </w:rPr>
            </w:pPr>
            <w:r>
              <w:rPr>
                <w:sz w:val="18"/>
                <w:szCs w:val="18"/>
              </w:rPr>
              <w:t>100%</w:t>
            </w:r>
          </w:p>
        </w:tc>
      </w:tr>
      <w:tr w:rsidR="00BE42ED" w:rsidRPr="005347D5" w14:paraId="450C248B" w14:textId="77777777" w:rsidTr="003B752F">
        <w:trPr>
          <w:trHeight w:val="300"/>
        </w:trPr>
        <w:tc>
          <w:tcPr>
            <w:tcW w:w="6160" w:type="dxa"/>
            <w:tcBorders>
              <w:bottom w:val="single" w:sz="8" w:space="0" w:color="404040" w:themeColor="text1" w:themeTint="BF"/>
            </w:tcBorders>
            <w:shd w:val="clear" w:color="auto" w:fill="auto"/>
            <w:noWrap/>
            <w:vAlign w:val="bottom"/>
            <w:hideMark/>
          </w:tcPr>
          <w:p w14:paraId="6BF27524" w14:textId="77777777" w:rsidR="00BE42ED" w:rsidRPr="006A729E" w:rsidRDefault="00BE42ED" w:rsidP="00BE42ED">
            <w:pPr>
              <w:rPr>
                <w:sz w:val="18"/>
                <w:szCs w:val="18"/>
                <w:lang w:eastAsia="hr-HR"/>
              </w:rPr>
            </w:pPr>
            <w:r w:rsidRPr="006A729E">
              <w:rPr>
                <w:sz w:val="18"/>
                <w:szCs w:val="18"/>
                <w:lang w:eastAsia="hr-HR"/>
              </w:rPr>
              <w:t>Ispravak vrijednosti potraživanja</w:t>
            </w:r>
          </w:p>
        </w:tc>
        <w:tc>
          <w:tcPr>
            <w:tcW w:w="1300" w:type="dxa"/>
            <w:tcBorders>
              <w:bottom w:val="single" w:sz="8" w:space="0" w:color="404040" w:themeColor="text1" w:themeTint="BF"/>
            </w:tcBorders>
            <w:shd w:val="clear" w:color="auto" w:fill="auto"/>
            <w:hideMark/>
          </w:tcPr>
          <w:p w14:paraId="4F84C742" w14:textId="7D6A91F8" w:rsidR="00BE42ED" w:rsidRPr="005B1175" w:rsidRDefault="00BE42ED" w:rsidP="00BE42ED">
            <w:pPr>
              <w:jc w:val="right"/>
              <w:rPr>
                <w:sz w:val="18"/>
                <w:szCs w:val="18"/>
                <w:highlight w:val="cyan"/>
                <w:lang w:eastAsia="hr-HR"/>
              </w:rPr>
            </w:pPr>
            <w:r w:rsidRPr="005B1175">
              <w:rPr>
                <w:sz w:val="18"/>
                <w:szCs w:val="18"/>
              </w:rPr>
              <w:t>-529</w:t>
            </w:r>
            <w:r w:rsidR="005B1175">
              <w:rPr>
                <w:sz w:val="18"/>
                <w:szCs w:val="18"/>
              </w:rPr>
              <w:t>.</w:t>
            </w:r>
            <w:r w:rsidRPr="005B1175">
              <w:rPr>
                <w:sz w:val="18"/>
                <w:szCs w:val="18"/>
              </w:rPr>
              <w:t>765</w:t>
            </w:r>
          </w:p>
        </w:tc>
        <w:tc>
          <w:tcPr>
            <w:tcW w:w="1040" w:type="dxa"/>
            <w:tcBorders>
              <w:bottom w:val="single" w:sz="8" w:space="0" w:color="404040" w:themeColor="text1" w:themeTint="BF"/>
            </w:tcBorders>
            <w:shd w:val="clear" w:color="auto" w:fill="auto"/>
            <w:vAlign w:val="bottom"/>
            <w:hideMark/>
          </w:tcPr>
          <w:p w14:paraId="33DD1F72" w14:textId="77777777" w:rsidR="00BE42ED" w:rsidRPr="005B1175" w:rsidRDefault="00BE42ED" w:rsidP="00BE42ED">
            <w:pPr>
              <w:rPr>
                <w:sz w:val="18"/>
                <w:szCs w:val="18"/>
                <w:highlight w:val="cyan"/>
                <w:lang w:eastAsia="hr-HR"/>
              </w:rPr>
            </w:pPr>
          </w:p>
        </w:tc>
      </w:tr>
      <w:tr w:rsidR="00BE42ED" w:rsidRPr="005347D5" w14:paraId="2B2D480E" w14:textId="77777777" w:rsidTr="003B752F">
        <w:trPr>
          <w:trHeight w:val="300"/>
        </w:trPr>
        <w:tc>
          <w:tcPr>
            <w:tcW w:w="6160" w:type="dxa"/>
            <w:tcBorders>
              <w:top w:val="single" w:sz="8" w:space="0" w:color="404040" w:themeColor="text1" w:themeTint="BF"/>
              <w:bottom w:val="single" w:sz="8" w:space="0" w:color="404040" w:themeColor="text1" w:themeTint="BF"/>
            </w:tcBorders>
            <w:shd w:val="clear" w:color="000000" w:fill="D9D9D9"/>
            <w:vAlign w:val="bottom"/>
            <w:hideMark/>
          </w:tcPr>
          <w:p w14:paraId="7DE2B0F3" w14:textId="7D454821" w:rsidR="00BE42ED" w:rsidRPr="006A729E" w:rsidRDefault="00BE42ED" w:rsidP="00BE42ED">
            <w:pPr>
              <w:rPr>
                <w:b/>
                <w:bCs/>
                <w:sz w:val="18"/>
                <w:szCs w:val="18"/>
                <w:lang w:eastAsia="hr-HR"/>
              </w:rPr>
            </w:pPr>
            <w:r w:rsidRPr="006A729E">
              <w:rPr>
                <w:b/>
                <w:bCs/>
                <w:sz w:val="18"/>
                <w:szCs w:val="18"/>
                <w:lang w:eastAsia="hr-HR"/>
              </w:rPr>
              <w:t xml:space="preserve">UKUPNO </w:t>
            </w:r>
          </w:p>
        </w:tc>
        <w:tc>
          <w:tcPr>
            <w:tcW w:w="1300" w:type="dxa"/>
            <w:tcBorders>
              <w:top w:val="single" w:sz="8" w:space="0" w:color="404040" w:themeColor="text1" w:themeTint="BF"/>
              <w:bottom w:val="single" w:sz="8" w:space="0" w:color="404040" w:themeColor="text1" w:themeTint="BF"/>
            </w:tcBorders>
            <w:shd w:val="clear" w:color="000000" w:fill="D9D9D9"/>
            <w:hideMark/>
          </w:tcPr>
          <w:p w14:paraId="7CAB4CEA" w14:textId="03B234D4" w:rsidR="00BE42ED" w:rsidRPr="00BE42ED" w:rsidRDefault="00BE42ED" w:rsidP="00BE42ED">
            <w:pPr>
              <w:jc w:val="right"/>
              <w:rPr>
                <w:b/>
                <w:bCs/>
                <w:sz w:val="18"/>
                <w:szCs w:val="18"/>
                <w:lang w:eastAsia="hr-HR"/>
              </w:rPr>
            </w:pPr>
            <w:r w:rsidRPr="00BE42ED">
              <w:rPr>
                <w:sz w:val="18"/>
                <w:szCs w:val="18"/>
              </w:rPr>
              <w:t xml:space="preserve"> 3.006.988    </w:t>
            </w:r>
          </w:p>
        </w:tc>
        <w:tc>
          <w:tcPr>
            <w:tcW w:w="1040" w:type="dxa"/>
            <w:tcBorders>
              <w:top w:val="single" w:sz="8" w:space="0" w:color="404040" w:themeColor="text1" w:themeTint="BF"/>
              <w:bottom w:val="single" w:sz="8" w:space="0" w:color="404040" w:themeColor="text1" w:themeTint="BF"/>
            </w:tcBorders>
            <w:shd w:val="clear" w:color="000000" w:fill="D9D9D9"/>
            <w:vAlign w:val="bottom"/>
            <w:hideMark/>
          </w:tcPr>
          <w:p w14:paraId="52B2A9EA" w14:textId="77777777" w:rsidR="00BE42ED" w:rsidRPr="005347D5" w:rsidRDefault="00BE42ED" w:rsidP="00BE42ED">
            <w:pPr>
              <w:rPr>
                <w:b/>
                <w:bCs/>
                <w:sz w:val="18"/>
                <w:szCs w:val="18"/>
                <w:lang w:eastAsia="hr-HR"/>
              </w:rPr>
            </w:pPr>
            <w:r w:rsidRPr="005347D5">
              <w:rPr>
                <w:b/>
                <w:bCs/>
                <w:sz w:val="18"/>
                <w:szCs w:val="18"/>
                <w:lang w:eastAsia="hr-HR"/>
              </w:rPr>
              <w:t> </w:t>
            </w:r>
          </w:p>
        </w:tc>
      </w:tr>
    </w:tbl>
    <w:p w14:paraId="033216F5" w14:textId="77777777" w:rsidR="00B10F8E" w:rsidRDefault="00B10F8E" w:rsidP="00A02495"/>
    <w:p w14:paraId="59E010CE" w14:textId="77777777" w:rsidR="00B10F8E" w:rsidRPr="007859C3" w:rsidRDefault="00B10F8E" w:rsidP="00A02495">
      <w:r w:rsidRPr="007859C3">
        <w:t>Potraživanja od kupaca za  isporučenu vodu  i izvršene usluge  uključuju i obračunate  zatezne kamate, naknade za korištenje i zaštitu voda, naknade za odvodnju i pročišćavanje otpadnih voda, naknade za razvoj vodoopskrbe i naknade za razvoj sustava javne odvodnje.</w:t>
      </w:r>
    </w:p>
    <w:p w14:paraId="03F19F75" w14:textId="77777777" w:rsidR="00B10F8E" w:rsidRPr="007859C3" w:rsidRDefault="00B10F8E" w:rsidP="00A02495"/>
    <w:p w14:paraId="677EFF34" w14:textId="480DEE68" w:rsidR="00B10F8E" w:rsidRPr="007859C3" w:rsidRDefault="00B10F8E" w:rsidP="00A02495">
      <w:r w:rsidRPr="007859C3">
        <w:t>Temeljem  Odluke Uprave, u 202</w:t>
      </w:r>
      <w:r w:rsidR="007859C3" w:rsidRPr="007859C3">
        <w:t>4</w:t>
      </w:r>
      <w:r w:rsidRPr="007859C3">
        <w:t xml:space="preserve">. godini izvršen je otpis potraživanja od kupaca u ukupnom iznosu od </w:t>
      </w:r>
      <w:r w:rsidR="007859C3" w:rsidRPr="007859C3">
        <w:t>76.605</w:t>
      </w:r>
      <w:r w:rsidRPr="007859C3">
        <w:t xml:space="preserve"> eura, od čega na teret  troškova  poslovanja </w:t>
      </w:r>
      <w:r w:rsidR="007859C3" w:rsidRPr="007859C3">
        <w:t>12.856</w:t>
      </w:r>
      <w:r w:rsidRPr="007859C3">
        <w:t xml:space="preserve"> eura, na  teret naknada  </w:t>
      </w:r>
      <w:r w:rsidR="007859C3" w:rsidRPr="007859C3">
        <w:t>30.044</w:t>
      </w:r>
      <w:r w:rsidRPr="007859C3">
        <w:t xml:space="preserve"> eura,  a na potpuno isknjiženje  </w:t>
      </w:r>
      <w:r w:rsidR="007859C3" w:rsidRPr="007859C3">
        <w:t>33.705</w:t>
      </w:r>
      <w:r w:rsidRPr="007859C3">
        <w:t xml:space="preserve"> eura.</w:t>
      </w:r>
    </w:p>
    <w:p w14:paraId="0E115479" w14:textId="77777777" w:rsidR="00B10F8E" w:rsidRPr="007859C3" w:rsidRDefault="00B10F8E" w:rsidP="00A02495"/>
    <w:p w14:paraId="49E24C9F" w14:textId="1D2A0FDE" w:rsidR="00B10F8E" w:rsidRPr="007859C3" w:rsidRDefault="00B10F8E" w:rsidP="00A02495">
      <w:r w:rsidRPr="007859C3">
        <w:t>Vrijednosno  su  usklađena  potraživanja  od  kupaca-domaćinstva sa  valutom  dospijeća  31.12.202</w:t>
      </w:r>
      <w:r w:rsidR="007859C3" w:rsidRPr="007859C3">
        <w:t>3</w:t>
      </w:r>
      <w:r w:rsidRPr="007859C3">
        <w:t xml:space="preserve">. godine u iznosu od </w:t>
      </w:r>
      <w:r w:rsidR="007859C3" w:rsidRPr="007859C3">
        <w:t>26.340</w:t>
      </w:r>
      <w:r w:rsidRPr="007859C3">
        <w:t xml:space="preserve"> eura, od čega na teret troškova </w:t>
      </w:r>
      <w:r w:rsidR="007859C3" w:rsidRPr="007859C3">
        <w:t>17.417</w:t>
      </w:r>
      <w:r w:rsidRPr="007859C3">
        <w:t xml:space="preserve"> eura, a na teret naknada </w:t>
      </w:r>
      <w:r w:rsidR="007859C3" w:rsidRPr="007859C3">
        <w:t>8.923</w:t>
      </w:r>
      <w:r w:rsidRPr="007859C3">
        <w:t xml:space="preserve"> eura. </w:t>
      </w:r>
    </w:p>
    <w:p w14:paraId="09A23F1D" w14:textId="77777777" w:rsidR="00B10F8E" w:rsidRPr="009013E3" w:rsidRDefault="00B10F8E" w:rsidP="00A02495">
      <w:pPr>
        <w:rPr>
          <w:highlight w:val="magenta"/>
        </w:rPr>
      </w:pPr>
    </w:p>
    <w:p w14:paraId="305BFCB9" w14:textId="67708826" w:rsidR="00B10F8E" w:rsidRPr="007859C3" w:rsidRDefault="00B10F8E" w:rsidP="00A02495">
      <w:r w:rsidRPr="007859C3">
        <w:t xml:space="preserve">Vrijednosno su usklađena potraživanja od pravnih osoba, obrta i domaćinstava za koje su pokrenute ovrhe u iznosu od </w:t>
      </w:r>
      <w:r w:rsidR="007859C3" w:rsidRPr="007859C3">
        <w:t>204.819</w:t>
      </w:r>
      <w:r w:rsidRPr="007859C3">
        <w:t xml:space="preserve"> eura, od čega se na teret troškova poslovanja odnosi </w:t>
      </w:r>
      <w:r w:rsidR="00924895">
        <w:t>116.582</w:t>
      </w:r>
      <w:r w:rsidRPr="007859C3">
        <w:t xml:space="preserve"> eura.</w:t>
      </w:r>
    </w:p>
    <w:p w14:paraId="53FB2018" w14:textId="77777777" w:rsidR="001E4699" w:rsidRPr="009013E3" w:rsidRDefault="001E4699" w:rsidP="00A02495">
      <w:pPr>
        <w:rPr>
          <w:highlight w:val="magenta"/>
        </w:rPr>
      </w:pPr>
    </w:p>
    <w:p w14:paraId="640B1F38" w14:textId="5A740078" w:rsidR="006D509B" w:rsidRDefault="00520667" w:rsidP="00A02495">
      <w:r w:rsidRPr="00AD0694">
        <w:rPr>
          <w:b/>
          <w:bCs/>
        </w:rPr>
        <w:t>Potraživanj</w:t>
      </w:r>
      <w:r w:rsidR="00AD0694">
        <w:rPr>
          <w:b/>
          <w:bCs/>
        </w:rPr>
        <w:t>a</w:t>
      </w:r>
      <w:r w:rsidRPr="00AD0694">
        <w:rPr>
          <w:b/>
          <w:bCs/>
        </w:rPr>
        <w:t xml:space="preserve"> od države i drugih institucija</w:t>
      </w:r>
      <w:r w:rsidRPr="00D75D33">
        <w:t xml:space="preserve"> u iznosu od </w:t>
      </w:r>
      <w:r w:rsidR="00D75D33" w:rsidRPr="00D75D33">
        <w:t>118.057</w:t>
      </w:r>
      <w:r w:rsidR="00B10F8E" w:rsidRPr="00D75D33">
        <w:t xml:space="preserve"> eura</w:t>
      </w:r>
      <w:r w:rsidRPr="00D75D33">
        <w:t xml:space="preserve"> odnosi se na </w:t>
      </w:r>
      <w:r w:rsidR="003E3137" w:rsidRPr="00D75D33">
        <w:t>potraživanja za povrat razlike poreza na dodanu vrijedn</w:t>
      </w:r>
      <w:r w:rsidR="00165963" w:rsidRPr="00D75D33">
        <w:t xml:space="preserve">ost u iznosu </w:t>
      </w:r>
      <w:r w:rsidR="00D75D33" w:rsidRPr="00D75D33">
        <w:t>77.670</w:t>
      </w:r>
      <w:r w:rsidR="00B10F8E" w:rsidRPr="00D75D33">
        <w:t xml:space="preserve"> eura</w:t>
      </w:r>
      <w:r w:rsidR="00165963" w:rsidRPr="00D75D33">
        <w:t>, po</w:t>
      </w:r>
      <w:r w:rsidR="003E3137" w:rsidRPr="00D75D33">
        <w:t xml:space="preserve">traživanja od Zavoda za zdravstveno osiguranje u iznosu </w:t>
      </w:r>
      <w:r w:rsidR="00D75D33" w:rsidRPr="00D75D33">
        <w:t>40.372</w:t>
      </w:r>
      <w:r w:rsidR="00B10F8E" w:rsidRPr="00D75D33">
        <w:t xml:space="preserve"> eura</w:t>
      </w:r>
      <w:r w:rsidR="00507D37" w:rsidRPr="00D75D33">
        <w:t xml:space="preserve"> te ostala potr</w:t>
      </w:r>
      <w:r w:rsidR="00156C60" w:rsidRPr="00D75D33">
        <w:t>a</w:t>
      </w:r>
      <w:r w:rsidR="00507D37" w:rsidRPr="00D75D33">
        <w:t xml:space="preserve">živanja od države i drugih institucija u iznosu </w:t>
      </w:r>
      <w:r w:rsidR="00D75D33" w:rsidRPr="00D75D33">
        <w:t>15</w:t>
      </w:r>
      <w:r w:rsidR="00B10F8E" w:rsidRPr="00D75D33">
        <w:t xml:space="preserve"> eura</w:t>
      </w:r>
      <w:r w:rsidR="00DF3C43" w:rsidRPr="00D75D33">
        <w:t>.</w:t>
      </w:r>
      <w:r w:rsidR="007D3793" w:rsidRPr="00D75D33">
        <w:t xml:space="preserve"> </w:t>
      </w:r>
    </w:p>
    <w:p w14:paraId="58212D1C" w14:textId="77777777" w:rsidR="00AD0694" w:rsidRDefault="00AD0694" w:rsidP="00A02495"/>
    <w:p w14:paraId="19B993C5" w14:textId="544F1AB8" w:rsidR="00002AC0" w:rsidRDefault="00AD0694" w:rsidP="00A02495">
      <w:r w:rsidRPr="002032B4">
        <w:rPr>
          <w:b/>
          <w:bCs/>
        </w:rPr>
        <w:t>Ostala potraživanja</w:t>
      </w:r>
      <w:r w:rsidRPr="002032B4">
        <w:t xml:space="preserve"> </w:t>
      </w:r>
      <w:r w:rsidR="000C2B8D" w:rsidRPr="002032B4">
        <w:t>u iznosu od 45.113 eura obuhvaćaju potraživanja za dane predujmove</w:t>
      </w:r>
      <w:r w:rsidR="000C2B8D" w:rsidRPr="000C2B8D">
        <w:t xml:space="preserve"> dobavljačima za obrtna sredstva u iznosu od 13.229 eur</w:t>
      </w:r>
      <w:r w:rsidR="002032B4">
        <w:t>a</w:t>
      </w:r>
      <w:r w:rsidR="000C2B8D" w:rsidRPr="000C2B8D">
        <w:t>, potraživanja za nedospjele kamate na oročene depozite u iznosu od 20.179 eur</w:t>
      </w:r>
      <w:r w:rsidR="002032B4">
        <w:t>a</w:t>
      </w:r>
      <w:r w:rsidR="000C2B8D" w:rsidRPr="000C2B8D">
        <w:t>, te ostala potraživanja.</w:t>
      </w:r>
    </w:p>
    <w:p w14:paraId="63F6106A" w14:textId="77777777" w:rsidR="000C2B8D" w:rsidRPr="009013E3" w:rsidRDefault="000C2B8D" w:rsidP="00A02495">
      <w:pPr>
        <w:rPr>
          <w:highlight w:val="magenta"/>
        </w:rPr>
      </w:pPr>
    </w:p>
    <w:p w14:paraId="3F6D8A74" w14:textId="4316C33A" w:rsidR="000C1EE8" w:rsidRPr="008979D3" w:rsidRDefault="00713871" w:rsidP="00A02495">
      <w:r w:rsidRPr="00A02495">
        <w:rPr>
          <w:b/>
          <w:bCs/>
        </w:rPr>
        <w:lastRenderedPageBreak/>
        <w:t>Kratkotrajna financijska imovina</w:t>
      </w:r>
      <w:r w:rsidRPr="008979D3">
        <w:t xml:space="preserve"> na </w:t>
      </w:r>
      <w:r w:rsidR="000C1EE8" w:rsidRPr="008979D3">
        <w:t xml:space="preserve">dan </w:t>
      </w:r>
      <w:r w:rsidRPr="008979D3">
        <w:t>31.12.202</w:t>
      </w:r>
      <w:r w:rsidR="00D75D33" w:rsidRPr="008979D3">
        <w:t>4</w:t>
      </w:r>
      <w:r w:rsidRPr="008979D3">
        <w:t xml:space="preserve">. godine iznosi </w:t>
      </w:r>
      <w:r w:rsidR="00AD0694">
        <w:t>9.150.000</w:t>
      </w:r>
      <w:r w:rsidR="00B10F8E" w:rsidRPr="008979D3">
        <w:t xml:space="preserve"> eura</w:t>
      </w:r>
      <w:r w:rsidR="000C1EE8" w:rsidRPr="008979D3">
        <w:t>. Obuhvaća:</w:t>
      </w:r>
    </w:p>
    <w:p w14:paraId="2F749E06" w14:textId="77777777" w:rsidR="000C2B8D" w:rsidRPr="000C2B8D" w:rsidRDefault="000C2B8D" w:rsidP="000C2B8D">
      <w:pPr>
        <w:pStyle w:val="Odlomakpopisa"/>
        <w:numPr>
          <w:ilvl w:val="0"/>
          <w:numId w:val="11"/>
        </w:numPr>
      </w:pPr>
      <w:r w:rsidRPr="000C2B8D">
        <w:t>kratkoročni depozit kod Erste&amp;Steiermarkische bank d.d u iznosu od 3.250.000 eura, sklopljen dana 24.12.2024. uz kamatnu stopu od 0,001 % godišnje, s istekom oročenja 09.01.2025.,</w:t>
      </w:r>
    </w:p>
    <w:p w14:paraId="27DF08CC" w14:textId="77777777" w:rsidR="000C2B8D" w:rsidRPr="000C2B8D" w:rsidRDefault="000C2B8D" w:rsidP="000C2B8D">
      <w:pPr>
        <w:pStyle w:val="Odlomakpopisa"/>
        <w:numPr>
          <w:ilvl w:val="0"/>
          <w:numId w:val="11"/>
        </w:numPr>
      </w:pPr>
      <w:r w:rsidRPr="000C2B8D">
        <w:t>tri kratkoročna depozita kod Zagrebačke banke d.d. u ukupnom iznosu od 5.900.000 eura, sklopljena u razdoblju od 28.10. do 24.12.2024. godine uz kamatne stope u rasponu od 2,42% do 2,62 % godišnje, s istekom oročenja u razdoblju od 02.01. do 28.01.2025. godine,</w:t>
      </w:r>
    </w:p>
    <w:p w14:paraId="7AF073D0" w14:textId="77777777" w:rsidR="00D75D33" w:rsidRDefault="00D75D33" w:rsidP="00A02495">
      <w:pPr>
        <w:rPr>
          <w:highlight w:val="magenta"/>
        </w:rPr>
      </w:pPr>
    </w:p>
    <w:p w14:paraId="23642BE2" w14:textId="6952088A" w:rsidR="0033183F" w:rsidRPr="00857E8E" w:rsidRDefault="008979D3" w:rsidP="00A02495">
      <w:r w:rsidRPr="00A02495">
        <w:rPr>
          <w:b/>
          <w:bCs/>
        </w:rPr>
        <w:t>Novčana imovina</w:t>
      </w:r>
      <w:r w:rsidRPr="00857E8E">
        <w:t xml:space="preserve"> na transakcijskom računu Društva</w:t>
      </w:r>
      <w:r w:rsidR="00857E8E" w:rsidRPr="00857E8E">
        <w:t xml:space="preserve"> na promatrani dan iznosila je 1.377.336 eura. </w:t>
      </w:r>
      <w:r w:rsidR="00140339" w:rsidRPr="00857E8E">
        <w:t xml:space="preserve">Društvo za poslovanje ima otvorene transakcijske račune u Erste&amp;Steiermarkische bank d.d. Rijeka i u Zagrebačkoj banci d.d. Zagreb. </w:t>
      </w:r>
    </w:p>
    <w:p w14:paraId="54F43273" w14:textId="77777777" w:rsidR="00D475FD" w:rsidRDefault="00D475FD" w:rsidP="00A02495"/>
    <w:p w14:paraId="37404C35" w14:textId="77777777" w:rsidR="00950DB3" w:rsidRDefault="00950DB3" w:rsidP="00A02495"/>
    <w:tbl>
      <w:tblPr>
        <w:tblW w:w="5000" w:type="pct"/>
        <w:tblLayout w:type="fixed"/>
        <w:tblCellMar>
          <w:left w:w="10" w:type="dxa"/>
          <w:right w:w="10" w:type="dxa"/>
        </w:tblCellMar>
        <w:tblLook w:val="04A0" w:firstRow="1" w:lastRow="0" w:firstColumn="1" w:lastColumn="0" w:noHBand="0" w:noVBand="1"/>
      </w:tblPr>
      <w:tblGrid>
        <w:gridCol w:w="9072"/>
      </w:tblGrid>
      <w:tr w:rsidR="00413177" w14:paraId="1155A390" w14:textId="77777777" w:rsidTr="00413177">
        <w:trPr>
          <w:trHeight w:val="397"/>
        </w:trPr>
        <w:tc>
          <w:tcPr>
            <w:tcW w:w="9288" w:type="dxa"/>
            <w:shd w:val="clear" w:color="auto" w:fill="E7E7FF"/>
            <w:tcMar>
              <w:top w:w="0" w:type="dxa"/>
              <w:left w:w="108" w:type="dxa"/>
              <w:bottom w:w="0" w:type="dxa"/>
              <w:right w:w="108" w:type="dxa"/>
            </w:tcMar>
            <w:vAlign w:val="center"/>
          </w:tcPr>
          <w:p w14:paraId="38B84C58" w14:textId="77777777" w:rsidR="00413177" w:rsidRDefault="00413177" w:rsidP="00413177">
            <w:pPr>
              <w:pStyle w:val="Standard"/>
              <w:spacing w:after="0"/>
              <w:rPr>
                <w:rFonts w:ascii="Cambria" w:hAnsi="Cambria" w:cs="Arial"/>
                <w:b/>
                <w:color w:val="262626"/>
                <w:lang w:eastAsia="en-US"/>
              </w:rPr>
            </w:pPr>
            <w:r>
              <w:rPr>
                <w:rFonts w:ascii="Cambria" w:hAnsi="Cambria" w:cs="Arial"/>
                <w:b/>
                <w:color w:val="262626"/>
                <w:lang w:eastAsia="en-US"/>
              </w:rPr>
              <w:t>Aktivna vremenska razgraničenja</w:t>
            </w:r>
          </w:p>
        </w:tc>
      </w:tr>
    </w:tbl>
    <w:p w14:paraId="1D708BC1" w14:textId="77777777" w:rsidR="00413177" w:rsidRDefault="00413177" w:rsidP="00A02495">
      <w:pPr>
        <w:pStyle w:val="Odlomakpopisa"/>
      </w:pPr>
    </w:p>
    <w:p w14:paraId="01AE26AF" w14:textId="305D1F91" w:rsidR="00B56E57" w:rsidRDefault="00530CC9" w:rsidP="00A02495">
      <w:r w:rsidRPr="00A02495">
        <w:rPr>
          <w:b/>
          <w:bCs/>
        </w:rPr>
        <w:t>Aktivna vremenska r</w:t>
      </w:r>
      <w:r w:rsidR="00C76048" w:rsidRPr="00A02495">
        <w:rPr>
          <w:b/>
          <w:bCs/>
        </w:rPr>
        <w:t>azgraničenja</w:t>
      </w:r>
      <w:r w:rsidR="005C6CED" w:rsidRPr="00857E8E">
        <w:t xml:space="preserve"> (</w:t>
      </w:r>
      <w:r w:rsidR="00857E8E" w:rsidRPr="00857E8E">
        <w:t>8.767</w:t>
      </w:r>
      <w:r w:rsidR="00927350" w:rsidRPr="00857E8E">
        <w:t xml:space="preserve"> eura</w:t>
      </w:r>
      <w:r w:rsidR="005C6CED" w:rsidRPr="00857E8E">
        <w:t xml:space="preserve">) u cjelokupnom iznosu odnose </w:t>
      </w:r>
      <w:r w:rsidR="009040EA" w:rsidRPr="00857E8E">
        <w:t xml:space="preserve">se </w:t>
      </w:r>
      <w:r w:rsidR="005C6CED" w:rsidRPr="00857E8E">
        <w:t>na poziciju</w:t>
      </w:r>
      <w:r w:rsidR="00C76048" w:rsidRPr="00857E8E">
        <w:t xml:space="preserve"> </w:t>
      </w:r>
      <w:r w:rsidR="005C6CED" w:rsidRPr="00857E8E">
        <w:t>p</w:t>
      </w:r>
      <w:r w:rsidRPr="00857E8E">
        <w:t>laćeni troškovi budućeg razdoblja</w:t>
      </w:r>
      <w:r w:rsidR="003C6588" w:rsidRPr="00857E8E">
        <w:t>,</w:t>
      </w:r>
      <w:r w:rsidR="00386A30" w:rsidRPr="00857E8E">
        <w:t xml:space="preserve"> </w:t>
      </w:r>
      <w:r w:rsidRPr="00857E8E">
        <w:t xml:space="preserve">a </w:t>
      </w:r>
      <w:r w:rsidR="004A4B1E" w:rsidRPr="00857E8E">
        <w:t>koja obuhvaća</w:t>
      </w:r>
      <w:r w:rsidRPr="00857E8E">
        <w:t xml:space="preserve"> </w:t>
      </w:r>
      <w:r w:rsidR="00C6033E" w:rsidRPr="00857E8E">
        <w:t>troškove osiguranja</w:t>
      </w:r>
      <w:r w:rsidR="00C87C61" w:rsidRPr="00857E8E">
        <w:t>,</w:t>
      </w:r>
      <w:r w:rsidR="00C6033E" w:rsidRPr="00857E8E">
        <w:t xml:space="preserve"> pretplat</w:t>
      </w:r>
      <w:r w:rsidR="00C87C61" w:rsidRPr="00857E8E">
        <w:t>u</w:t>
      </w:r>
      <w:r w:rsidR="00C6033E" w:rsidRPr="00857E8E">
        <w:t xml:space="preserve"> na služ</w:t>
      </w:r>
      <w:r w:rsidR="00D1006F" w:rsidRPr="00857E8E">
        <w:t>bena glasila i stručne časopise</w:t>
      </w:r>
      <w:r w:rsidR="00C73307" w:rsidRPr="00857E8E">
        <w:t xml:space="preserve">, </w:t>
      </w:r>
      <w:r w:rsidR="00EC7154" w:rsidRPr="00857E8E">
        <w:t xml:space="preserve"> </w:t>
      </w:r>
      <w:r w:rsidR="00C73307" w:rsidRPr="00857E8E">
        <w:t>te ostale troškove</w:t>
      </w:r>
      <w:r w:rsidR="00D1006F" w:rsidRPr="00857E8E">
        <w:t>.</w:t>
      </w:r>
    </w:p>
    <w:p w14:paraId="110ECA90" w14:textId="77777777" w:rsidR="00716B41" w:rsidRDefault="00716B41" w:rsidP="00A02495"/>
    <w:p w14:paraId="7F7DB89F" w14:textId="77777777" w:rsidR="004D2A2E" w:rsidRDefault="004D2A2E" w:rsidP="004D2A2E">
      <w:pPr>
        <w:pStyle w:val="Standard"/>
        <w:pageBreakBefore/>
        <w:spacing w:after="0"/>
        <w:rPr>
          <w:rFonts w:ascii="Cambria" w:hAnsi="Cambria" w:cs="Arial"/>
          <w:b/>
          <w:color w:val="262626"/>
          <w:szCs w:val="18"/>
        </w:rPr>
      </w:pPr>
      <w:r>
        <w:rPr>
          <w:rFonts w:ascii="Cambria" w:hAnsi="Cambria" w:cs="Arial"/>
          <w:b/>
          <w:color w:val="262626"/>
          <w:szCs w:val="18"/>
        </w:rPr>
        <w:lastRenderedPageBreak/>
        <w:t>Izvještaj 2.</w:t>
      </w:r>
    </w:p>
    <w:p w14:paraId="1520B974" w14:textId="77777777" w:rsidR="004D2A2E" w:rsidRDefault="004D2A2E" w:rsidP="004D2A2E">
      <w:pPr>
        <w:pStyle w:val="Standard"/>
        <w:pBdr>
          <w:bottom w:val="single" w:sz="18" w:space="1" w:color="000080"/>
        </w:pBdr>
        <w:spacing w:after="0" w:line="360" w:lineRule="auto"/>
        <w:rPr>
          <w:rFonts w:ascii="Cambria" w:hAnsi="Cambria" w:cs="Arial"/>
          <w:b/>
          <w:color w:val="262626"/>
          <w:sz w:val="40"/>
          <w:szCs w:val="26"/>
        </w:rPr>
      </w:pPr>
      <w:r>
        <w:rPr>
          <w:rFonts w:ascii="Cambria" w:hAnsi="Cambria" w:cs="Arial"/>
          <w:b/>
          <w:color w:val="262626"/>
          <w:sz w:val="40"/>
          <w:szCs w:val="26"/>
        </w:rPr>
        <w:t>KAPITAL I OBVEZE</w:t>
      </w:r>
    </w:p>
    <w:p w14:paraId="23775D33" w14:textId="77777777" w:rsidR="004D2A2E" w:rsidRDefault="004D2A2E" w:rsidP="004D2A2E">
      <w:pPr>
        <w:pStyle w:val="Standard"/>
        <w:spacing w:after="0"/>
        <w:rPr>
          <w:rFonts w:ascii="Cambria" w:hAnsi="Cambria" w:cs="Arial"/>
          <w:b/>
          <w:color w:val="17365D"/>
        </w:rPr>
      </w:pPr>
    </w:p>
    <w:tbl>
      <w:tblPr>
        <w:tblW w:w="5000" w:type="pct"/>
        <w:tblLayout w:type="fixed"/>
        <w:tblCellMar>
          <w:left w:w="10" w:type="dxa"/>
          <w:right w:w="10" w:type="dxa"/>
        </w:tblCellMar>
        <w:tblLook w:val="04A0" w:firstRow="1" w:lastRow="0" w:firstColumn="1" w:lastColumn="0" w:noHBand="0" w:noVBand="1"/>
      </w:tblPr>
      <w:tblGrid>
        <w:gridCol w:w="9072"/>
      </w:tblGrid>
      <w:tr w:rsidR="004D2A2E" w14:paraId="56AD5DD0" w14:textId="77777777" w:rsidTr="00DB583C">
        <w:trPr>
          <w:trHeight w:val="397"/>
        </w:trPr>
        <w:tc>
          <w:tcPr>
            <w:tcW w:w="9288" w:type="dxa"/>
            <w:shd w:val="clear" w:color="auto" w:fill="E7E7FF"/>
            <w:tcMar>
              <w:top w:w="0" w:type="dxa"/>
              <w:left w:w="108" w:type="dxa"/>
              <w:bottom w:w="0" w:type="dxa"/>
              <w:right w:w="108" w:type="dxa"/>
            </w:tcMar>
            <w:vAlign w:val="center"/>
          </w:tcPr>
          <w:p w14:paraId="353F4100" w14:textId="77777777" w:rsidR="004D2A2E" w:rsidRDefault="004D2A2E" w:rsidP="006C7AA7">
            <w:pPr>
              <w:pStyle w:val="Standard"/>
              <w:spacing w:after="0"/>
              <w:rPr>
                <w:rFonts w:ascii="Cambria" w:hAnsi="Cambria" w:cs="Arial"/>
                <w:b/>
                <w:color w:val="262626"/>
                <w:lang w:eastAsia="en-US"/>
              </w:rPr>
            </w:pPr>
            <w:r>
              <w:rPr>
                <w:rFonts w:ascii="Cambria" w:hAnsi="Cambria" w:cs="Arial"/>
                <w:b/>
                <w:color w:val="262626"/>
                <w:lang w:eastAsia="en-US"/>
              </w:rPr>
              <w:t>Kapital i rezerve</w:t>
            </w:r>
          </w:p>
        </w:tc>
      </w:tr>
    </w:tbl>
    <w:p w14:paraId="53F4D2F9" w14:textId="77777777" w:rsidR="00530CC9" w:rsidRPr="007229CE" w:rsidRDefault="00530CC9" w:rsidP="00A02495"/>
    <w:p w14:paraId="724E6F33" w14:textId="5E34E8BB" w:rsidR="00A9670A" w:rsidRPr="00870B64" w:rsidRDefault="00A73DAC" w:rsidP="005B1175">
      <w:r w:rsidRPr="00870B64">
        <w:t xml:space="preserve">Pozicija Kapital i rezerve sudjeluje u ukupnoj pasivi s </w:t>
      </w:r>
      <w:r w:rsidR="005B1175" w:rsidRPr="00870B64">
        <w:t>19</w:t>
      </w:r>
      <w:r w:rsidRPr="00870B64">
        <w:t>%</w:t>
      </w:r>
      <w:r w:rsidR="00002AC0" w:rsidRPr="00870B64">
        <w:t xml:space="preserve">, </w:t>
      </w:r>
      <w:r w:rsidR="001D58F9" w:rsidRPr="00870B64">
        <w:t>dok su</w:t>
      </w:r>
      <w:r w:rsidR="00002AC0" w:rsidRPr="00870B64">
        <w:t xml:space="preserve"> p</w:t>
      </w:r>
      <w:r w:rsidR="004E698E" w:rsidRPr="00870B64">
        <w:t>rethodne godine na dan 31.12.20</w:t>
      </w:r>
      <w:r w:rsidR="00002AC0" w:rsidRPr="00870B64">
        <w:t>2</w:t>
      </w:r>
      <w:r w:rsidR="005B1175" w:rsidRPr="00870B64">
        <w:t>3</w:t>
      </w:r>
      <w:r w:rsidR="004E698E" w:rsidRPr="00870B64">
        <w:t>. godine</w:t>
      </w:r>
      <w:r w:rsidR="001D58F9" w:rsidRPr="00870B64">
        <w:t xml:space="preserve"> sudjel</w:t>
      </w:r>
      <w:r w:rsidR="007475B2" w:rsidRPr="00870B64">
        <w:t>ovale</w:t>
      </w:r>
      <w:r w:rsidR="001D58F9" w:rsidRPr="00870B64">
        <w:t xml:space="preserve"> s </w:t>
      </w:r>
      <w:r w:rsidR="005B1175" w:rsidRPr="00870B64">
        <w:t>2</w:t>
      </w:r>
      <w:r w:rsidR="00893B15" w:rsidRPr="00870B64">
        <w:t>1</w:t>
      </w:r>
      <w:r w:rsidR="001D58F9" w:rsidRPr="00870B64">
        <w:t>% u ukupnoj pasivi</w:t>
      </w:r>
      <w:r w:rsidR="004E698E" w:rsidRPr="00870B64">
        <w:t>.</w:t>
      </w:r>
    </w:p>
    <w:p w14:paraId="460CE213" w14:textId="77777777" w:rsidR="00635CA9" w:rsidRPr="009013E3" w:rsidRDefault="00635CA9" w:rsidP="00A02495">
      <w:pPr>
        <w:rPr>
          <w:highlight w:val="cyan"/>
        </w:rPr>
      </w:pPr>
    </w:p>
    <w:p w14:paraId="77BDD5F3" w14:textId="77777777" w:rsidR="00870B64" w:rsidRDefault="00870B64" w:rsidP="00870B64">
      <w:r>
        <w:t>Rješenjem Trgovačkog suda u Pazinu broj Tt-23/1444-2 od 10.03.2023. godine, u sudski registar upisano je usklađenje temeljnog kapitala sa Zakonom o trgovačkim društvima – pretvaranjem iznosa istog iz kuna (108.500.000,00) u EUR (14.400.370,00), pri čemu je iznos od 54,71 EUR, po zaokruženju na desetice, prenesen u kapitalne rezerve.</w:t>
      </w:r>
    </w:p>
    <w:p w14:paraId="48C5CC61" w14:textId="77777777" w:rsidR="00870B64" w:rsidRDefault="00870B64" w:rsidP="00870B64"/>
    <w:p w14:paraId="708209DF" w14:textId="141A15BF" w:rsidR="00893B15" w:rsidRDefault="00870B64" w:rsidP="00870B64">
      <w:r>
        <w:t>Temeljem Rješenja Trgovačkog suda u Pazinu (broj Tt-23/3480-2 od 31.5.2023. godine) u sudski registar upisano je pripajanje društva PRAGRANDE d.o.o. društvu VODOVOD PULA</w:t>
      </w:r>
      <w:r w:rsidR="007C25FB">
        <w:t>-LABIN</w:t>
      </w:r>
      <w:r>
        <w:t xml:space="preserve"> d.o.o.</w:t>
      </w:r>
      <w:r w:rsidR="007C25FB">
        <w:t xml:space="preserve"> (</w:t>
      </w:r>
      <w:r w:rsidR="007650B8">
        <w:t>ex</w:t>
      </w:r>
      <w:r w:rsidR="007C25FB">
        <w:t>: VODOVOD PULA d.o.o.)</w:t>
      </w:r>
      <w:r>
        <w:t>. Pripajanje je izvršeno uz povećanje temeljnog kapitala društva preuzimatelja VODOVOD PULA</w:t>
      </w:r>
      <w:r w:rsidR="007C25FB">
        <w:t>-LABIN</w:t>
      </w:r>
      <w:r>
        <w:t xml:space="preserve"> d.o.o.</w:t>
      </w:r>
      <w:r w:rsidR="007C25FB">
        <w:t xml:space="preserve"> (ex: VODOVOD PULA d.o.o.)</w:t>
      </w:r>
      <w:r>
        <w:t xml:space="preserve"> na način, da je temeljni kapital povećan sa iznosa od 14.400.370,00 eura za iznos od 4.609.430,00 eura na iznos od od 19.009.800,00 eura.</w:t>
      </w:r>
    </w:p>
    <w:p w14:paraId="593D7953" w14:textId="77777777" w:rsidR="00870B64" w:rsidRPr="009013E3" w:rsidRDefault="00870B64" w:rsidP="00870B64">
      <w:pPr>
        <w:rPr>
          <w:highlight w:val="cyan"/>
        </w:rPr>
      </w:pPr>
    </w:p>
    <w:p w14:paraId="47C19BD5" w14:textId="0B20F933" w:rsidR="00893B15" w:rsidRPr="00870B64" w:rsidRDefault="00893B15" w:rsidP="00D65BB2">
      <w:pPr>
        <w:spacing w:after="240"/>
      </w:pPr>
      <w:r w:rsidRPr="00870B64">
        <w:t>Vlasnička struktura kapitala nakon pripajanja, na dan 31.12.202</w:t>
      </w:r>
      <w:r w:rsidR="00870B64" w:rsidRPr="00870B64">
        <w:t>4</w:t>
      </w:r>
      <w:r w:rsidRPr="00870B64">
        <w:t>. godine je slijedeća:</w:t>
      </w:r>
    </w:p>
    <w:tbl>
      <w:tblPr>
        <w:tblW w:w="4600" w:type="dxa"/>
        <w:tblInd w:w="93" w:type="dxa"/>
        <w:tblBorders>
          <w:top w:val="single" w:sz="4" w:space="0" w:color="BFBFBF" w:themeColor="background1" w:themeShade="BF"/>
          <w:bottom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3580"/>
        <w:gridCol w:w="1180"/>
      </w:tblGrid>
      <w:tr w:rsidR="00893B15" w:rsidRPr="00870B64" w14:paraId="4D26D769" w14:textId="77777777" w:rsidTr="005347D5">
        <w:trPr>
          <w:trHeight w:val="300"/>
        </w:trPr>
        <w:tc>
          <w:tcPr>
            <w:tcW w:w="3580" w:type="dxa"/>
            <w:tcBorders>
              <w:top w:val="single" w:sz="8" w:space="0" w:color="404040" w:themeColor="text1" w:themeTint="BF"/>
              <w:bottom w:val="single" w:sz="8" w:space="0" w:color="404040" w:themeColor="text1" w:themeTint="BF"/>
            </w:tcBorders>
            <w:shd w:val="clear" w:color="auto" w:fill="auto"/>
            <w:noWrap/>
            <w:vAlign w:val="bottom"/>
            <w:hideMark/>
          </w:tcPr>
          <w:p w14:paraId="698422E7" w14:textId="77777777" w:rsidR="00893B15" w:rsidRPr="00870B64" w:rsidRDefault="00893B15" w:rsidP="00A02495">
            <w:pPr>
              <w:rPr>
                <w:b/>
                <w:bCs/>
                <w:sz w:val="18"/>
                <w:szCs w:val="18"/>
                <w:lang w:eastAsia="hr-HR"/>
              </w:rPr>
            </w:pPr>
            <w:r w:rsidRPr="00870B64">
              <w:rPr>
                <w:b/>
                <w:bCs/>
                <w:sz w:val="18"/>
                <w:szCs w:val="18"/>
                <w:lang w:eastAsia="hr-HR"/>
              </w:rPr>
              <w:t> </w:t>
            </w:r>
          </w:p>
        </w:tc>
        <w:tc>
          <w:tcPr>
            <w:tcW w:w="1020" w:type="dxa"/>
            <w:tcBorders>
              <w:top w:val="single" w:sz="8" w:space="0" w:color="404040" w:themeColor="text1" w:themeTint="BF"/>
              <w:bottom w:val="single" w:sz="8" w:space="0" w:color="404040" w:themeColor="text1" w:themeTint="BF"/>
            </w:tcBorders>
            <w:shd w:val="clear" w:color="auto" w:fill="auto"/>
            <w:noWrap/>
            <w:vAlign w:val="bottom"/>
            <w:hideMark/>
          </w:tcPr>
          <w:p w14:paraId="0D3BE0AC" w14:textId="77777777" w:rsidR="00893B15" w:rsidRPr="00870B64" w:rsidRDefault="00893B15" w:rsidP="00A02495">
            <w:pPr>
              <w:rPr>
                <w:b/>
                <w:bCs/>
                <w:sz w:val="18"/>
                <w:szCs w:val="18"/>
                <w:lang w:eastAsia="hr-HR"/>
              </w:rPr>
            </w:pPr>
            <w:r w:rsidRPr="00870B64">
              <w:rPr>
                <w:b/>
                <w:bCs/>
                <w:sz w:val="18"/>
                <w:szCs w:val="18"/>
                <w:lang w:eastAsia="hr-HR"/>
              </w:rPr>
              <w:t>% udjela</w:t>
            </w:r>
          </w:p>
        </w:tc>
      </w:tr>
      <w:tr w:rsidR="00893B15" w:rsidRPr="00870B64" w14:paraId="6FD70682" w14:textId="77777777" w:rsidTr="005347D5">
        <w:trPr>
          <w:trHeight w:val="300"/>
        </w:trPr>
        <w:tc>
          <w:tcPr>
            <w:tcW w:w="3580" w:type="dxa"/>
            <w:tcBorders>
              <w:top w:val="single" w:sz="8" w:space="0" w:color="404040" w:themeColor="text1" w:themeTint="BF"/>
            </w:tcBorders>
            <w:shd w:val="clear" w:color="auto" w:fill="auto"/>
            <w:noWrap/>
            <w:vAlign w:val="bottom"/>
            <w:hideMark/>
          </w:tcPr>
          <w:p w14:paraId="6622C86F" w14:textId="77777777" w:rsidR="00893B15" w:rsidRPr="00870B64" w:rsidRDefault="00893B15" w:rsidP="00A02495">
            <w:pPr>
              <w:rPr>
                <w:sz w:val="18"/>
                <w:szCs w:val="18"/>
                <w:lang w:eastAsia="hr-HR"/>
              </w:rPr>
            </w:pPr>
            <w:r w:rsidRPr="00870B64">
              <w:rPr>
                <w:sz w:val="18"/>
                <w:szCs w:val="18"/>
                <w:lang w:eastAsia="hr-HR"/>
              </w:rPr>
              <w:t>Grad Pula</w:t>
            </w:r>
          </w:p>
        </w:tc>
        <w:tc>
          <w:tcPr>
            <w:tcW w:w="1020" w:type="dxa"/>
            <w:tcBorders>
              <w:top w:val="single" w:sz="8" w:space="0" w:color="404040" w:themeColor="text1" w:themeTint="BF"/>
            </w:tcBorders>
            <w:shd w:val="clear" w:color="auto" w:fill="auto"/>
            <w:noWrap/>
            <w:vAlign w:val="bottom"/>
            <w:hideMark/>
          </w:tcPr>
          <w:p w14:paraId="5F703CBD" w14:textId="77777777" w:rsidR="00893B15" w:rsidRPr="00870B64" w:rsidRDefault="00893B15" w:rsidP="00513B34">
            <w:pPr>
              <w:jc w:val="center"/>
              <w:rPr>
                <w:sz w:val="18"/>
                <w:szCs w:val="18"/>
                <w:lang w:eastAsia="hr-HR"/>
              </w:rPr>
            </w:pPr>
            <w:r w:rsidRPr="00870B64">
              <w:rPr>
                <w:sz w:val="18"/>
                <w:szCs w:val="18"/>
                <w:lang w:eastAsia="hr-HR"/>
              </w:rPr>
              <w:t>73,4618%</w:t>
            </w:r>
          </w:p>
        </w:tc>
      </w:tr>
      <w:tr w:rsidR="00893B15" w:rsidRPr="00870B64" w14:paraId="31C58BE4" w14:textId="77777777" w:rsidTr="005347D5">
        <w:trPr>
          <w:trHeight w:val="300"/>
        </w:trPr>
        <w:tc>
          <w:tcPr>
            <w:tcW w:w="3580" w:type="dxa"/>
            <w:shd w:val="clear" w:color="auto" w:fill="auto"/>
            <w:noWrap/>
            <w:vAlign w:val="bottom"/>
            <w:hideMark/>
          </w:tcPr>
          <w:p w14:paraId="27219FFD" w14:textId="77777777" w:rsidR="00893B15" w:rsidRPr="00870B64" w:rsidRDefault="00893B15" w:rsidP="00A02495">
            <w:pPr>
              <w:rPr>
                <w:sz w:val="18"/>
                <w:szCs w:val="18"/>
                <w:lang w:eastAsia="hr-HR"/>
              </w:rPr>
            </w:pPr>
            <w:r w:rsidRPr="00870B64">
              <w:rPr>
                <w:sz w:val="18"/>
                <w:szCs w:val="18"/>
                <w:lang w:eastAsia="hr-HR"/>
              </w:rPr>
              <w:t>Grad Vodnjan</w:t>
            </w:r>
          </w:p>
        </w:tc>
        <w:tc>
          <w:tcPr>
            <w:tcW w:w="1020" w:type="dxa"/>
            <w:shd w:val="clear" w:color="auto" w:fill="auto"/>
            <w:noWrap/>
            <w:vAlign w:val="bottom"/>
            <w:hideMark/>
          </w:tcPr>
          <w:p w14:paraId="50038301" w14:textId="77777777" w:rsidR="00893B15" w:rsidRPr="00870B64" w:rsidRDefault="00893B15" w:rsidP="00513B34">
            <w:pPr>
              <w:jc w:val="center"/>
              <w:rPr>
                <w:sz w:val="18"/>
                <w:szCs w:val="18"/>
                <w:lang w:eastAsia="hr-HR"/>
              </w:rPr>
            </w:pPr>
            <w:r w:rsidRPr="00870B64">
              <w:rPr>
                <w:sz w:val="18"/>
                <w:szCs w:val="18"/>
                <w:lang w:eastAsia="hr-HR"/>
              </w:rPr>
              <w:t>8,7745%</w:t>
            </w:r>
          </w:p>
        </w:tc>
      </w:tr>
      <w:tr w:rsidR="00893B15" w:rsidRPr="00870B64" w14:paraId="4B028100" w14:textId="77777777" w:rsidTr="005347D5">
        <w:trPr>
          <w:trHeight w:val="300"/>
        </w:trPr>
        <w:tc>
          <w:tcPr>
            <w:tcW w:w="3580" w:type="dxa"/>
            <w:shd w:val="clear" w:color="auto" w:fill="auto"/>
            <w:noWrap/>
            <w:vAlign w:val="bottom"/>
            <w:hideMark/>
          </w:tcPr>
          <w:p w14:paraId="02946B18" w14:textId="77777777" w:rsidR="00893B15" w:rsidRPr="00870B64" w:rsidRDefault="00893B15" w:rsidP="00A02495">
            <w:pPr>
              <w:rPr>
                <w:sz w:val="18"/>
                <w:szCs w:val="18"/>
                <w:lang w:eastAsia="hr-HR"/>
              </w:rPr>
            </w:pPr>
            <w:r w:rsidRPr="00870B64">
              <w:rPr>
                <w:sz w:val="18"/>
                <w:szCs w:val="18"/>
                <w:lang w:eastAsia="hr-HR"/>
              </w:rPr>
              <w:t>Općina Medulin</w:t>
            </w:r>
          </w:p>
        </w:tc>
        <w:tc>
          <w:tcPr>
            <w:tcW w:w="1020" w:type="dxa"/>
            <w:shd w:val="clear" w:color="auto" w:fill="auto"/>
            <w:noWrap/>
            <w:vAlign w:val="bottom"/>
            <w:hideMark/>
          </w:tcPr>
          <w:p w14:paraId="12DD3337" w14:textId="77777777" w:rsidR="00893B15" w:rsidRPr="00870B64" w:rsidRDefault="00893B15" w:rsidP="00513B34">
            <w:pPr>
              <w:jc w:val="center"/>
              <w:rPr>
                <w:sz w:val="18"/>
                <w:szCs w:val="18"/>
                <w:lang w:eastAsia="hr-HR"/>
              </w:rPr>
            </w:pPr>
            <w:r w:rsidRPr="00870B64">
              <w:rPr>
                <w:sz w:val="18"/>
                <w:szCs w:val="18"/>
                <w:lang w:eastAsia="hr-HR"/>
              </w:rPr>
              <w:t>7,2385%</w:t>
            </w:r>
          </w:p>
        </w:tc>
      </w:tr>
      <w:tr w:rsidR="00893B15" w:rsidRPr="00870B64" w14:paraId="3630B16F" w14:textId="77777777" w:rsidTr="005347D5">
        <w:trPr>
          <w:trHeight w:val="300"/>
        </w:trPr>
        <w:tc>
          <w:tcPr>
            <w:tcW w:w="3580" w:type="dxa"/>
            <w:shd w:val="clear" w:color="auto" w:fill="auto"/>
            <w:noWrap/>
            <w:vAlign w:val="bottom"/>
            <w:hideMark/>
          </w:tcPr>
          <w:p w14:paraId="3A1BBA70" w14:textId="77777777" w:rsidR="00893B15" w:rsidRPr="00870B64" w:rsidRDefault="00893B15" w:rsidP="00A02495">
            <w:pPr>
              <w:rPr>
                <w:sz w:val="18"/>
                <w:szCs w:val="18"/>
                <w:lang w:eastAsia="hr-HR"/>
              </w:rPr>
            </w:pPr>
            <w:r w:rsidRPr="00870B64">
              <w:rPr>
                <w:sz w:val="18"/>
                <w:szCs w:val="18"/>
                <w:lang w:eastAsia="hr-HR"/>
              </w:rPr>
              <w:t>Općina Ližnjan</w:t>
            </w:r>
          </w:p>
        </w:tc>
        <w:tc>
          <w:tcPr>
            <w:tcW w:w="1020" w:type="dxa"/>
            <w:shd w:val="clear" w:color="auto" w:fill="auto"/>
            <w:noWrap/>
            <w:vAlign w:val="bottom"/>
            <w:hideMark/>
          </w:tcPr>
          <w:p w14:paraId="54CC2192" w14:textId="77777777" w:rsidR="00893B15" w:rsidRPr="00870B64" w:rsidRDefault="00893B15" w:rsidP="00513B34">
            <w:pPr>
              <w:jc w:val="center"/>
              <w:rPr>
                <w:sz w:val="18"/>
                <w:szCs w:val="18"/>
                <w:lang w:eastAsia="hr-HR"/>
              </w:rPr>
            </w:pPr>
            <w:r w:rsidRPr="00870B64">
              <w:rPr>
                <w:sz w:val="18"/>
                <w:szCs w:val="18"/>
                <w:lang w:eastAsia="hr-HR"/>
              </w:rPr>
              <w:t>3,2723%</w:t>
            </w:r>
          </w:p>
        </w:tc>
      </w:tr>
      <w:tr w:rsidR="00893B15" w:rsidRPr="00870B64" w14:paraId="7398A98E" w14:textId="77777777" w:rsidTr="005347D5">
        <w:trPr>
          <w:trHeight w:val="300"/>
        </w:trPr>
        <w:tc>
          <w:tcPr>
            <w:tcW w:w="3580" w:type="dxa"/>
            <w:shd w:val="clear" w:color="auto" w:fill="auto"/>
            <w:noWrap/>
            <w:vAlign w:val="bottom"/>
            <w:hideMark/>
          </w:tcPr>
          <w:p w14:paraId="0513CF89" w14:textId="77777777" w:rsidR="00893B15" w:rsidRPr="00870B64" w:rsidRDefault="00893B15" w:rsidP="00A02495">
            <w:pPr>
              <w:rPr>
                <w:sz w:val="18"/>
                <w:szCs w:val="18"/>
                <w:lang w:eastAsia="hr-HR"/>
              </w:rPr>
            </w:pPr>
            <w:r w:rsidRPr="00870B64">
              <w:rPr>
                <w:sz w:val="18"/>
                <w:szCs w:val="18"/>
                <w:lang w:eastAsia="hr-HR"/>
              </w:rPr>
              <w:t>Općina Marčana</w:t>
            </w:r>
          </w:p>
        </w:tc>
        <w:tc>
          <w:tcPr>
            <w:tcW w:w="1020" w:type="dxa"/>
            <w:shd w:val="clear" w:color="auto" w:fill="auto"/>
            <w:noWrap/>
            <w:vAlign w:val="bottom"/>
            <w:hideMark/>
          </w:tcPr>
          <w:p w14:paraId="640D76EF" w14:textId="77777777" w:rsidR="00893B15" w:rsidRPr="00870B64" w:rsidRDefault="00893B15" w:rsidP="00513B34">
            <w:pPr>
              <w:jc w:val="center"/>
              <w:rPr>
                <w:sz w:val="18"/>
                <w:szCs w:val="18"/>
                <w:lang w:eastAsia="hr-HR"/>
              </w:rPr>
            </w:pPr>
            <w:r w:rsidRPr="00870B64">
              <w:rPr>
                <w:sz w:val="18"/>
                <w:szCs w:val="18"/>
                <w:lang w:eastAsia="hr-HR"/>
              </w:rPr>
              <w:t>3,5209%</w:t>
            </w:r>
          </w:p>
        </w:tc>
      </w:tr>
      <w:tr w:rsidR="00893B15" w:rsidRPr="00870B64" w14:paraId="06EB1FCF" w14:textId="77777777" w:rsidTr="005347D5">
        <w:trPr>
          <w:trHeight w:val="300"/>
        </w:trPr>
        <w:tc>
          <w:tcPr>
            <w:tcW w:w="3580" w:type="dxa"/>
            <w:shd w:val="clear" w:color="auto" w:fill="auto"/>
            <w:noWrap/>
            <w:vAlign w:val="bottom"/>
            <w:hideMark/>
          </w:tcPr>
          <w:p w14:paraId="42AD9AA8" w14:textId="77777777" w:rsidR="00893B15" w:rsidRPr="00870B64" w:rsidRDefault="00893B15" w:rsidP="00A02495">
            <w:pPr>
              <w:rPr>
                <w:sz w:val="18"/>
                <w:szCs w:val="18"/>
                <w:lang w:eastAsia="hr-HR"/>
              </w:rPr>
            </w:pPr>
            <w:r w:rsidRPr="00870B64">
              <w:rPr>
                <w:sz w:val="18"/>
                <w:szCs w:val="18"/>
                <w:lang w:eastAsia="hr-HR"/>
              </w:rPr>
              <w:t>Općina Barban</w:t>
            </w:r>
          </w:p>
        </w:tc>
        <w:tc>
          <w:tcPr>
            <w:tcW w:w="1020" w:type="dxa"/>
            <w:shd w:val="clear" w:color="auto" w:fill="auto"/>
            <w:noWrap/>
            <w:vAlign w:val="bottom"/>
            <w:hideMark/>
          </w:tcPr>
          <w:p w14:paraId="1912F26E" w14:textId="77777777" w:rsidR="00893B15" w:rsidRPr="00870B64" w:rsidRDefault="00893B15" w:rsidP="00513B34">
            <w:pPr>
              <w:jc w:val="center"/>
              <w:rPr>
                <w:sz w:val="18"/>
                <w:szCs w:val="18"/>
                <w:lang w:eastAsia="hr-HR"/>
              </w:rPr>
            </w:pPr>
            <w:r w:rsidRPr="00870B64">
              <w:rPr>
                <w:sz w:val="18"/>
                <w:szCs w:val="18"/>
                <w:lang w:eastAsia="hr-HR"/>
              </w:rPr>
              <w:t>1,7594%</w:t>
            </w:r>
          </w:p>
        </w:tc>
      </w:tr>
      <w:tr w:rsidR="00893B15" w:rsidRPr="00870B64" w14:paraId="744ADC05" w14:textId="77777777" w:rsidTr="005347D5">
        <w:trPr>
          <w:trHeight w:val="300"/>
        </w:trPr>
        <w:tc>
          <w:tcPr>
            <w:tcW w:w="3580" w:type="dxa"/>
            <w:shd w:val="clear" w:color="auto" w:fill="auto"/>
            <w:noWrap/>
            <w:vAlign w:val="bottom"/>
            <w:hideMark/>
          </w:tcPr>
          <w:p w14:paraId="0530045F" w14:textId="77777777" w:rsidR="00893B15" w:rsidRPr="00870B64" w:rsidRDefault="00893B15" w:rsidP="00A02495">
            <w:pPr>
              <w:rPr>
                <w:sz w:val="18"/>
                <w:szCs w:val="18"/>
                <w:lang w:eastAsia="hr-HR"/>
              </w:rPr>
            </w:pPr>
            <w:r w:rsidRPr="00870B64">
              <w:rPr>
                <w:sz w:val="18"/>
                <w:szCs w:val="18"/>
                <w:lang w:eastAsia="hr-HR"/>
              </w:rPr>
              <w:t>Općina Fažana</w:t>
            </w:r>
          </w:p>
        </w:tc>
        <w:tc>
          <w:tcPr>
            <w:tcW w:w="1020" w:type="dxa"/>
            <w:shd w:val="clear" w:color="auto" w:fill="auto"/>
            <w:noWrap/>
            <w:vAlign w:val="bottom"/>
            <w:hideMark/>
          </w:tcPr>
          <w:p w14:paraId="1E245E85" w14:textId="77777777" w:rsidR="00893B15" w:rsidRPr="00870B64" w:rsidRDefault="00893B15" w:rsidP="00513B34">
            <w:pPr>
              <w:jc w:val="center"/>
              <w:rPr>
                <w:sz w:val="18"/>
                <w:szCs w:val="18"/>
                <w:lang w:eastAsia="hr-HR"/>
              </w:rPr>
            </w:pPr>
            <w:r w:rsidRPr="00870B64">
              <w:rPr>
                <w:sz w:val="18"/>
                <w:szCs w:val="18"/>
                <w:lang w:eastAsia="hr-HR"/>
              </w:rPr>
              <w:t>0,9748%</w:t>
            </w:r>
          </w:p>
        </w:tc>
      </w:tr>
      <w:tr w:rsidR="00893B15" w:rsidRPr="00870B64" w14:paraId="32875163" w14:textId="77777777" w:rsidTr="005347D5">
        <w:trPr>
          <w:trHeight w:val="300"/>
        </w:trPr>
        <w:tc>
          <w:tcPr>
            <w:tcW w:w="3580" w:type="dxa"/>
            <w:tcBorders>
              <w:bottom w:val="single" w:sz="8" w:space="0" w:color="404040" w:themeColor="text1" w:themeTint="BF"/>
            </w:tcBorders>
            <w:shd w:val="clear" w:color="auto" w:fill="auto"/>
            <w:noWrap/>
            <w:vAlign w:val="bottom"/>
            <w:hideMark/>
          </w:tcPr>
          <w:p w14:paraId="76E7A57F" w14:textId="77777777" w:rsidR="00893B15" w:rsidRPr="00870B64" w:rsidRDefault="00893B15" w:rsidP="00A02495">
            <w:pPr>
              <w:rPr>
                <w:sz w:val="18"/>
                <w:szCs w:val="18"/>
                <w:lang w:eastAsia="hr-HR"/>
              </w:rPr>
            </w:pPr>
            <w:r w:rsidRPr="00870B64">
              <w:rPr>
                <w:sz w:val="18"/>
                <w:szCs w:val="18"/>
                <w:lang w:eastAsia="hr-HR"/>
              </w:rPr>
              <w:t>Općina Svetvinčenat</w:t>
            </w:r>
          </w:p>
        </w:tc>
        <w:tc>
          <w:tcPr>
            <w:tcW w:w="1020" w:type="dxa"/>
            <w:tcBorders>
              <w:bottom w:val="single" w:sz="8" w:space="0" w:color="404040" w:themeColor="text1" w:themeTint="BF"/>
            </w:tcBorders>
            <w:shd w:val="clear" w:color="auto" w:fill="auto"/>
            <w:noWrap/>
            <w:vAlign w:val="bottom"/>
            <w:hideMark/>
          </w:tcPr>
          <w:p w14:paraId="2FC4F8BE" w14:textId="77777777" w:rsidR="00893B15" w:rsidRPr="00870B64" w:rsidRDefault="00893B15" w:rsidP="00513B34">
            <w:pPr>
              <w:jc w:val="center"/>
              <w:rPr>
                <w:sz w:val="18"/>
                <w:szCs w:val="18"/>
                <w:lang w:eastAsia="hr-HR"/>
              </w:rPr>
            </w:pPr>
            <w:r w:rsidRPr="00870B64">
              <w:rPr>
                <w:sz w:val="18"/>
                <w:szCs w:val="18"/>
                <w:lang w:eastAsia="hr-HR"/>
              </w:rPr>
              <w:t>0,9978%</w:t>
            </w:r>
          </w:p>
        </w:tc>
      </w:tr>
      <w:tr w:rsidR="00893B15" w:rsidRPr="00513B34" w14:paraId="2D1B74FA" w14:textId="77777777" w:rsidTr="005347D5">
        <w:trPr>
          <w:trHeight w:val="315"/>
        </w:trPr>
        <w:tc>
          <w:tcPr>
            <w:tcW w:w="3580" w:type="dxa"/>
            <w:tcBorders>
              <w:top w:val="single" w:sz="8" w:space="0" w:color="404040" w:themeColor="text1" w:themeTint="BF"/>
              <w:bottom w:val="single" w:sz="8" w:space="0" w:color="404040" w:themeColor="text1" w:themeTint="BF"/>
            </w:tcBorders>
            <w:shd w:val="clear" w:color="auto" w:fill="auto"/>
            <w:noWrap/>
            <w:vAlign w:val="bottom"/>
            <w:hideMark/>
          </w:tcPr>
          <w:p w14:paraId="0C4A1DEE" w14:textId="77777777" w:rsidR="00893B15" w:rsidRPr="00870B64" w:rsidRDefault="00893B15" w:rsidP="00A02495">
            <w:pPr>
              <w:rPr>
                <w:b/>
                <w:bCs/>
                <w:sz w:val="18"/>
                <w:szCs w:val="18"/>
                <w:lang w:eastAsia="hr-HR"/>
              </w:rPr>
            </w:pPr>
            <w:r w:rsidRPr="00870B64">
              <w:rPr>
                <w:b/>
                <w:bCs/>
                <w:sz w:val="18"/>
                <w:szCs w:val="18"/>
                <w:lang w:eastAsia="hr-HR"/>
              </w:rPr>
              <w:t> </w:t>
            </w:r>
          </w:p>
        </w:tc>
        <w:tc>
          <w:tcPr>
            <w:tcW w:w="1020" w:type="dxa"/>
            <w:tcBorders>
              <w:top w:val="single" w:sz="8" w:space="0" w:color="404040" w:themeColor="text1" w:themeTint="BF"/>
              <w:bottom w:val="single" w:sz="8" w:space="0" w:color="404040" w:themeColor="text1" w:themeTint="BF"/>
            </w:tcBorders>
            <w:shd w:val="clear" w:color="auto" w:fill="auto"/>
            <w:noWrap/>
            <w:vAlign w:val="bottom"/>
            <w:hideMark/>
          </w:tcPr>
          <w:p w14:paraId="126AFA92" w14:textId="77777777" w:rsidR="00893B15" w:rsidRPr="00870B64" w:rsidRDefault="00893B15" w:rsidP="00513B34">
            <w:pPr>
              <w:jc w:val="center"/>
              <w:rPr>
                <w:b/>
                <w:bCs/>
                <w:sz w:val="18"/>
                <w:szCs w:val="18"/>
                <w:lang w:eastAsia="hr-HR"/>
              </w:rPr>
            </w:pPr>
            <w:r w:rsidRPr="00870B64">
              <w:rPr>
                <w:b/>
                <w:bCs/>
                <w:sz w:val="18"/>
                <w:szCs w:val="18"/>
                <w:lang w:eastAsia="hr-HR"/>
              </w:rPr>
              <w:t>100,0000%</w:t>
            </w:r>
          </w:p>
        </w:tc>
      </w:tr>
    </w:tbl>
    <w:p w14:paraId="11636EAB" w14:textId="77777777" w:rsidR="00893B15" w:rsidRPr="009013E3" w:rsidRDefault="00893B15" w:rsidP="00A02495">
      <w:pPr>
        <w:rPr>
          <w:highlight w:val="cyan"/>
        </w:rPr>
      </w:pPr>
    </w:p>
    <w:p w14:paraId="37389D95" w14:textId="1261B963" w:rsidR="00870B64" w:rsidRDefault="00893B15" w:rsidP="00A02495">
      <w:r w:rsidRPr="00CC6CAB">
        <w:rPr>
          <w:b/>
          <w:bCs/>
        </w:rPr>
        <w:t>Revalorizacijske  rezerve</w:t>
      </w:r>
      <w:r w:rsidRPr="00870B64">
        <w:t xml:space="preserve"> </w:t>
      </w:r>
      <w:r w:rsidR="00870B64">
        <w:t xml:space="preserve">u </w:t>
      </w:r>
      <w:r w:rsidRPr="00870B64">
        <w:t>iznos</w:t>
      </w:r>
      <w:r w:rsidR="00870B64">
        <w:t>u od</w:t>
      </w:r>
      <w:r w:rsidRPr="00870B64">
        <w:t xml:space="preserve"> </w:t>
      </w:r>
      <w:r w:rsidR="00870B64">
        <w:t>1.936.777</w:t>
      </w:r>
      <w:r w:rsidRPr="00870B64">
        <w:t xml:space="preserve"> eura odnose se  na  revalorizaciju zemljišta</w:t>
      </w:r>
      <w:r w:rsidR="00870B64">
        <w:t>. Temeljem Odluke Skupštine društva održane 24.09.2024. godine revalorizacijske rezerve koje su donesene pripajanjem društva Pragrande d.o.o. u iznosu od 520.786 eura u cijelosti su prenesene u zadržanu dobit.</w:t>
      </w:r>
    </w:p>
    <w:p w14:paraId="384EDF7E" w14:textId="77777777" w:rsidR="00870B64" w:rsidRDefault="00870B64" w:rsidP="00A02495"/>
    <w:p w14:paraId="14042906" w14:textId="74ED10D0" w:rsidR="00893B15" w:rsidRDefault="00870B64" w:rsidP="00A02495">
      <w:r w:rsidRPr="00CC6CAB">
        <w:rPr>
          <w:b/>
          <w:bCs/>
        </w:rPr>
        <w:t>Zadržana dobit</w:t>
      </w:r>
      <w:r w:rsidRPr="00870B64">
        <w:t>, koja je na dan 31.12.2023. godine bila iskazana u iznosu od 46.446 EUR, u toku godine je uvećana za preneseni iznos revalorizacijskih rezervi od 520.786 EUR po Odluci Skupštine</w:t>
      </w:r>
      <w:r w:rsidR="00CC6CAB">
        <w:t xml:space="preserve">, </w:t>
      </w:r>
      <w:r w:rsidRPr="00870B64">
        <w:t>a zatim umanjena za iznos pokrića prenesenog gubitka pripojenog društva Pragrande d.o.o. u iznosu od 396.70</w:t>
      </w:r>
      <w:r w:rsidR="00CC6CAB">
        <w:t>4</w:t>
      </w:r>
      <w:r w:rsidRPr="00870B64">
        <w:t xml:space="preserve"> EUR, te na dan 31.12.2024. godine iznosi 170.52</w:t>
      </w:r>
      <w:r w:rsidR="00CC6CAB">
        <w:t>9</w:t>
      </w:r>
      <w:r w:rsidRPr="00870B64">
        <w:t xml:space="preserve"> EUR.</w:t>
      </w:r>
    </w:p>
    <w:p w14:paraId="1A03149F" w14:textId="77777777" w:rsidR="00870B64" w:rsidRPr="009013E3" w:rsidRDefault="00870B64" w:rsidP="00A02495">
      <w:pPr>
        <w:rPr>
          <w:highlight w:val="cyan"/>
        </w:rPr>
      </w:pPr>
    </w:p>
    <w:p w14:paraId="56F9464F" w14:textId="54805048" w:rsidR="007475B2" w:rsidRDefault="00870B64" w:rsidP="00A02495">
      <w:r w:rsidRPr="00CC6CAB">
        <w:rPr>
          <w:b/>
          <w:bCs/>
        </w:rPr>
        <w:t>Preneseni gubitak</w:t>
      </w:r>
      <w:r w:rsidRPr="00870B64">
        <w:t xml:space="preserve"> koji je na dan 31.12.2023. godine iznosio 456.02</w:t>
      </w:r>
      <w:r w:rsidR="00CC6CAB">
        <w:t>5</w:t>
      </w:r>
      <w:r w:rsidRPr="00870B64">
        <w:t xml:space="preserve"> EUR, pokriven je temeljem Odluka Skupštine, i to najprije za iznos od 59.32</w:t>
      </w:r>
      <w:r w:rsidR="00CC6CAB">
        <w:t>1</w:t>
      </w:r>
      <w:r w:rsidRPr="00870B64">
        <w:t xml:space="preserve"> EUR, koliko je iznosila dobit društva za 2023. </w:t>
      </w:r>
      <w:r w:rsidRPr="00870B64">
        <w:lastRenderedPageBreak/>
        <w:t>godinu,  a zatim u iznosu od 396.70</w:t>
      </w:r>
      <w:r w:rsidR="00CC6CAB">
        <w:t>4</w:t>
      </w:r>
      <w:r w:rsidRPr="00870B64">
        <w:t xml:space="preserve"> EUR, nakon što su u zadržanu dobit  prenesene revalorizacijske rezerve.</w:t>
      </w:r>
    </w:p>
    <w:p w14:paraId="6438A4D2" w14:textId="77777777" w:rsidR="00870B64" w:rsidRDefault="00870B64" w:rsidP="00A02495"/>
    <w:p w14:paraId="340B3B29" w14:textId="66131B9D" w:rsidR="00716B41" w:rsidRDefault="00716B41" w:rsidP="00A02495">
      <w:r w:rsidRPr="00D660BB">
        <w:t>Društvo je u 20</w:t>
      </w:r>
      <w:r w:rsidR="00F111D5" w:rsidRPr="00D660BB">
        <w:t>2</w:t>
      </w:r>
      <w:r w:rsidR="00D660BB">
        <w:t>4.</w:t>
      </w:r>
      <w:r w:rsidRPr="00D660BB">
        <w:t xml:space="preserve"> godini ostvarilo </w:t>
      </w:r>
      <w:r w:rsidRPr="00CC6CAB">
        <w:rPr>
          <w:b/>
          <w:bCs/>
        </w:rPr>
        <w:t>dobit</w:t>
      </w:r>
      <w:r w:rsidRPr="00D660BB">
        <w:t xml:space="preserve"> u iznosu od </w:t>
      </w:r>
      <w:r w:rsidR="00D660BB">
        <w:t>4.512</w:t>
      </w:r>
      <w:r w:rsidR="00893B15" w:rsidRPr="00D660BB">
        <w:t xml:space="preserve"> eura</w:t>
      </w:r>
      <w:r w:rsidRPr="00D660BB">
        <w:t xml:space="preserve">, dok </w:t>
      </w:r>
      <w:r w:rsidR="00496D14" w:rsidRPr="00D660BB">
        <w:t>je prethodne</w:t>
      </w:r>
      <w:r w:rsidRPr="00D660BB">
        <w:t xml:space="preserve"> godin</w:t>
      </w:r>
      <w:r w:rsidR="00496D14" w:rsidRPr="00D660BB">
        <w:t xml:space="preserve">e dobit iznosila </w:t>
      </w:r>
      <w:r w:rsidR="00D660BB">
        <w:t>59.321</w:t>
      </w:r>
      <w:r w:rsidR="00893B15" w:rsidRPr="00D660BB">
        <w:t xml:space="preserve"> eura</w:t>
      </w:r>
      <w:r w:rsidRPr="00D660BB">
        <w:t>.</w:t>
      </w:r>
    </w:p>
    <w:p w14:paraId="2DE97467" w14:textId="77777777" w:rsidR="00332007" w:rsidRPr="00DB40F1" w:rsidRDefault="00332007" w:rsidP="00A02495"/>
    <w:p w14:paraId="70236B75" w14:textId="77777777" w:rsidR="00B83793" w:rsidRPr="00DB40F1" w:rsidRDefault="00B83793" w:rsidP="00A02495"/>
    <w:tbl>
      <w:tblPr>
        <w:tblStyle w:val="Reetkatablice"/>
        <w:tblW w:w="94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7E7FF"/>
        <w:tblLook w:val="04A0" w:firstRow="1" w:lastRow="0" w:firstColumn="1" w:lastColumn="0" w:noHBand="0" w:noVBand="1"/>
      </w:tblPr>
      <w:tblGrid>
        <w:gridCol w:w="9408"/>
      </w:tblGrid>
      <w:tr w:rsidR="00332007" w:rsidRPr="00332007" w14:paraId="00F32279" w14:textId="77777777" w:rsidTr="007D0808">
        <w:trPr>
          <w:trHeight w:val="443"/>
        </w:trPr>
        <w:tc>
          <w:tcPr>
            <w:tcW w:w="9408" w:type="dxa"/>
            <w:shd w:val="clear" w:color="auto" w:fill="E7E7FF"/>
            <w:vAlign w:val="center"/>
          </w:tcPr>
          <w:p w14:paraId="19DE51C1" w14:textId="77777777" w:rsidR="00332007" w:rsidRPr="00332007" w:rsidRDefault="00332007" w:rsidP="00332007">
            <w:pPr>
              <w:pStyle w:val="Standard"/>
              <w:spacing w:after="0"/>
              <w:rPr>
                <w:rFonts w:ascii="Cambria" w:hAnsi="Cambria" w:cs="Arial"/>
                <w:b/>
                <w:color w:val="262626"/>
                <w:lang w:eastAsia="en-US"/>
              </w:rPr>
            </w:pPr>
            <w:r>
              <w:rPr>
                <w:rFonts w:ascii="Cambria" w:hAnsi="Cambria" w:cs="Arial"/>
                <w:b/>
                <w:color w:val="262626"/>
                <w:lang w:eastAsia="en-US"/>
              </w:rPr>
              <w:t>Rezerviranja</w:t>
            </w:r>
          </w:p>
        </w:tc>
      </w:tr>
    </w:tbl>
    <w:p w14:paraId="0A7E28C5" w14:textId="77777777" w:rsidR="00332007" w:rsidRDefault="00332007" w:rsidP="00A02495"/>
    <w:p w14:paraId="7442F941" w14:textId="1382B459" w:rsidR="00332007" w:rsidRPr="00600CC5" w:rsidRDefault="00332007" w:rsidP="00A02495">
      <w:r w:rsidRPr="00CC6CAB">
        <w:rPr>
          <w:b/>
          <w:bCs/>
        </w:rPr>
        <w:t>Rezerviranja</w:t>
      </w:r>
      <w:r w:rsidRPr="00600CC5">
        <w:t xml:space="preserve"> u </w:t>
      </w:r>
      <w:r w:rsidR="00893B15" w:rsidRPr="00600CC5">
        <w:t>202</w:t>
      </w:r>
      <w:r w:rsidR="00600CC5" w:rsidRPr="00600CC5">
        <w:t>4</w:t>
      </w:r>
      <w:r w:rsidR="00893B15" w:rsidRPr="00600CC5">
        <w:t>.</w:t>
      </w:r>
      <w:r w:rsidRPr="00600CC5">
        <w:t xml:space="preserve"> godini iznose ukupno </w:t>
      </w:r>
      <w:r w:rsidR="00600CC5" w:rsidRPr="00600CC5">
        <w:t>271.516</w:t>
      </w:r>
      <w:r w:rsidR="00893B15" w:rsidRPr="00600CC5">
        <w:t xml:space="preserve"> eura</w:t>
      </w:r>
      <w:r w:rsidRPr="00600CC5">
        <w:t xml:space="preserve">, a odnose se na rezerviranja za neiskorištene godišnje odmore u iznosu od </w:t>
      </w:r>
      <w:r w:rsidR="00600CC5" w:rsidRPr="00600CC5">
        <w:t>143.232</w:t>
      </w:r>
      <w:r w:rsidR="00893B15" w:rsidRPr="00600CC5">
        <w:t xml:space="preserve"> eura</w:t>
      </w:r>
      <w:r w:rsidRPr="00600CC5">
        <w:t xml:space="preserve">, rezerviranja za otpremnine u iznosu od </w:t>
      </w:r>
      <w:r w:rsidR="00600CC5" w:rsidRPr="00600CC5">
        <w:t>118.204</w:t>
      </w:r>
      <w:r w:rsidR="00893B15" w:rsidRPr="00600CC5">
        <w:t xml:space="preserve"> eura</w:t>
      </w:r>
      <w:r w:rsidRPr="00600CC5">
        <w:t xml:space="preserve"> te za jubilarne nagrade u iznosu od </w:t>
      </w:r>
      <w:r w:rsidR="00600CC5" w:rsidRPr="00600CC5">
        <w:t>10.080</w:t>
      </w:r>
      <w:r w:rsidR="00893B15" w:rsidRPr="00600CC5">
        <w:t xml:space="preserve"> eura</w:t>
      </w:r>
      <w:r w:rsidRPr="00600CC5">
        <w:t>.</w:t>
      </w:r>
    </w:p>
    <w:p w14:paraId="48613ADF" w14:textId="77777777" w:rsidR="00332007" w:rsidRPr="00600CC5" w:rsidRDefault="00332007" w:rsidP="00A02495"/>
    <w:p w14:paraId="551C4FCE" w14:textId="7892C23F" w:rsidR="00332007" w:rsidRPr="00891A1E" w:rsidRDefault="00332007" w:rsidP="00A02495">
      <w:r w:rsidRPr="00600CC5">
        <w:t xml:space="preserve">Rezerviranja </w:t>
      </w:r>
      <w:r w:rsidR="00361DEA" w:rsidRPr="00600CC5">
        <w:t xml:space="preserve">za neiskorištene godišnje odmore, otpremnine i jubilarne nagrade </w:t>
      </w:r>
      <w:r w:rsidRPr="00600CC5">
        <w:t xml:space="preserve">iz prethodne godine u </w:t>
      </w:r>
      <w:r w:rsidR="00891A1E" w:rsidRPr="00600CC5">
        <w:t xml:space="preserve">ukupnom </w:t>
      </w:r>
      <w:r w:rsidRPr="00600CC5">
        <w:t xml:space="preserve">iznosu </w:t>
      </w:r>
      <w:r w:rsidR="00600CC5" w:rsidRPr="00600CC5">
        <w:t>330.405</w:t>
      </w:r>
      <w:r w:rsidR="00893B15" w:rsidRPr="00600CC5">
        <w:t xml:space="preserve"> eura</w:t>
      </w:r>
      <w:r w:rsidRPr="00600CC5">
        <w:t xml:space="preserve"> </w:t>
      </w:r>
      <w:r w:rsidR="00140339" w:rsidRPr="00600CC5">
        <w:t xml:space="preserve"> </w:t>
      </w:r>
      <w:r w:rsidRPr="00600CC5">
        <w:t xml:space="preserve">u </w:t>
      </w:r>
      <w:r w:rsidR="00893B15" w:rsidRPr="00600CC5">
        <w:t>cijelosti</w:t>
      </w:r>
      <w:r w:rsidRPr="00600CC5">
        <w:t xml:space="preserve"> su ukinuta u 202</w:t>
      </w:r>
      <w:r w:rsidR="00600CC5" w:rsidRPr="00600CC5">
        <w:t>4</w:t>
      </w:r>
      <w:r w:rsidRPr="00600CC5">
        <w:t>. godini.</w:t>
      </w:r>
    </w:p>
    <w:p w14:paraId="3A2E8706" w14:textId="77777777" w:rsidR="00332007" w:rsidRDefault="00332007" w:rsidP="00A02495"/>
    <w:p w14:paraId="25FECE51" w14:textId="77777777" w:rsidR="00413177" w:rsidRDefault="00413177" w:rsidP="00413177">
      <w:pPr>
        <w:pStyle w:val="Standard"/>
        <w:spacing w:after="0"/>
        <w:jc w:val="both"/>
        <w:rPr>
          <w:rFonts w:ascii="Cambria" w:hAnsi="Cambria" w:cs="Arial"/>
        </w:rPr>
      </w:pPr>
    </w:p>
    <w:tbl>
      <w:tblPr>
        <w:tblW w:w="5000" w:type="pct"/>
        <w:tblLayout w:type="fixed"/>
        <w:tblCellMar>
          <w:left w:w="10" w:type="dxa"/>
          <w:right w:w="10" w:type="dxa"/>
        </w:tblCellMar>
        <w:tblLook w:val="04A0" w:firstRow="1" w:lastRow="0" w:firstColumn="1" w:lastColumn="0" w:noHBand="0" w:noVBand="1"/>
      </w:tblPr>
      <w:tblGrid>
        <w:gridCol w:w="9072"/>
      </w:tblGrid>
      <w:tr w:rsidR="00413177" w14:paraId="4C99D7FD" w14:textId="77777777" w:rsidTr="00413177">
        <w:trPr>
          <w:trHeight w:val="397"/>
        </w:trPr>
        <w:tc>
          <w:tcPr>
            <w:tcW w:w="9638" w:type="dxa"/>
            <w:shd w:val="clear" w:color="auto" w:fill="E7E7FF"/>
            <w:tcMar>
              <w:top w:w="0" w:type="dxa"/>
              <w:left w:w="108" w:type="dxa"/>
              <w:bottom w:w="0" w:type="dxa"/>
              <w:right w:w="108" w:type="dxa"/>
            </w:tcMar>
            <w:vAlign w:val="center"/>
          </w:tcPr>
          <w:p w14:paraId="3B3DCACC" w14:textId="77777777" w:rsidR="00413177" w:rsidRDefault="00413177" w:rsidP="00413177">
            <w:pPr>
              <w:pStyle w:val="Standard"/>
              <w:spacing w:after="0"/>
              <w:rPr>
                <w:rFonts w:ascii="Cambria" w:hAnsi="Cambria" w:cs="Arial"/>
                <w:b/>
                <w:color w:val="262626"/>
                <w:lang w:eastAsia="en-US"/>
              </w:rPr>
            </w:pPr>
            <w:r>
              <w:rPr>
                <w:rFonts w:ascii="Cambria" w:hAnsi="Cambria" w:cs="Arial"/>
                <w:b/>
                <w:color w:val="262626"/>
                <w:lang w:eastAsia="en-US"/>
              </w:rPr>
              <w:t>Dugoročne obveze</w:t>
            </w:r>
          </w:p>
        </w:tc>
      </w:tr>
    </w:tbl>
    <w:p w14:paraId="27CC1504" w14:textId="77777777" w:rsidR="007D0808" w:rsidRPr="007229CE" w:rsidRDefault="007D0808" w:rsidP="00A02495"/>
    <w:p w14:paraId="4EAF186F" w14:textId="5B385BA0" w:rsidR="00893B15" w:rsidRPr="00D660BB" w:rsidRDefault="00496D14" w:rsidP="00A02495">
      <w:pPr>
        <w:rPr>
          <w:highlight w:val="cyan"/>
        </w:rPr>
      </w:pPr>
      <w:r w:rsidRPr="00F82AD5">
        <w:rPr>
          <w:b/>
          <w:bCs/>
        </w:rPr>
        <w:t>Dugoročne obveze prema financijskim institucijama</w:t>
      </w:r>
      <w:r w:rsidRPr="00D660BB">
        <w:t xml:space="preserve"> iznose </w:t>
      </w:r>
      <w:r w:rsidR="00D660BB" w:rsidRPr="00D660BB">
        <w:t>96.392</w:t>
      </w:r>
      <w:r w:rsidR="00893B15" w:rsidRPr="00D660BB">
        <w:t xml:space="preserve"> eura</w:t>
      </w:r>
      <w:r w:rsidRPr="00D660BB">
        <w:t xml:space="preserve">, </w:t>
      </w:r>
      <w:r w:rsidRPr="00112F25">
        <w:t>a odnose se na</w:t>
      </w:r>
      <w:r w:rsidR="00893B15" w:rsidRPr="00112F25">
        <w:t xml:space="preserve"> dugoročne obveze za financijski leasing. </w:t>
      </w:r>
      <w:r w:rsidR="00870B64" w:rsidRPr="00112F25">
        <w:t>Sa Unicredit Leasing Croatia d</w:t>
      </w:r>
      <w:r w:rsidR="00870B64" w:rsidRPr="00870B64">
        <w:t>.o.o. Zagreb je tijekom 2024. godine zaključeno pet novih Ugovora o financijskom leasingu kojim se financira nabavka dva teretna i tri osobna vozila. Ugovori su zaključeni uz rok otplate od 36 mjeseci. Dugoročna  obveza  na  dan  31.12.2024. godine  iznosi  96.39</w:t>
      </w:r>
      <w:r w:rsidR="00CC6CAB">
        <w:t>2</w:t>
      </w:r>
      <w:r w:rsidR="00870B64" w:rsidRPr="00870B64">
        <w:t xml:space="preserve"> EUR (204.85</w:t>
      </w:r>
      <w:r w:rsidR="00CC6CAB">
        <w:t>4</w:t>
      </w:r>
      <w:r w:rsidR="00870B64" w:rsidRPr="00870B64">
        <w:t xml:space="preserve"> EUR  umanjeno  za 108.46</w:t>
      </w:r>
      <w:r w:rsidR="00CC6CAB">
        <w:t>2</w:t>
      </w:r>
      <w:r w:rsidR="00870B64" w:rsidRPr="00870B64">
        <w:t xml:space="preserve"> EUR  sa dospijećem u 2025. godini).</w:t>
      </w:r>
    </w:p>
    <w:p w14:paraId="2E4929AD" w14:textId="77777777" w:rsidR="00893B15" w:rsidRPr="009013E3" w:rsidRDefault="00893B15" w:rsidP="00A02495">
      <w:pPr>
        <w:rPr>
          <w:highlight w:val="magenta"/>
        </w:rPr>
      </w:pPr>
    </w:p>
    <w:p w14:paraId="6DD42AB8" w14:textId="77777777" w:rsidR="00716B41" w:rsidRPr="00A81B62" w:rsidRDefault="00716B41" w:rsidP="00A02495"/>
    <w:tbl>
      <w:tblPr>
        <w:tblW w:w="5000" w:type="pct"/>
        <w:tblLayout w:type="fixed"/>
        <w:tblCellMar>
          <w:left w:w="10" w:type="dxa"/>
          <w:right w:w="10" w:type="dxa"/>
        </w:tblCellMar>
        <w:tblLook w:val="04A0" w:firstRow="1" w:lastRow="0" w:firstColumn="1" w:lastColumn="0" w:noHBand="0" w:noVBand="1"/>
      </w:tblPr>
      <w:tblGrid>
        <w:gridCol w:w="9072"/>
      </w:tblGrid>
      <w:tr w:rsidR="00413177" w14:paraId="33E464EE" w14:textId="77777777" w:rsidTr="00DB583C">
        <w:trPr>
          <w:trHeight w:val="397"/>
        </w:trPr>
        <w:tc>
          <w:tcPr>
            <w:tcW w:w="9288" w:type="dxa"/>
            <w:shd w:val="clear" w:color="auto" w:fill="E7E7FF"/>
            <w:tcMar>
              <w:top w:w="0" w:type="dxa"/>
              <w:left w:w="108" w:type="dxa"/>
              <w:bottom w:w="0" w:type="dxa"/>
              <w:right w:w="108" w:type="dxa"/>
            </w:tcMar>
            <w:vAlign w:val="center"/>
          </w:tcPr>
          <w:p w14:paraId="7F77D99D" w14:textId="77777777" w:rsidR="00413177" w:rsidRDefault="00413177" w:rsidP="00413177">
            <w:pPr>
              <w:pStyle w:val="Standard"/>
              <w:spacing w:after="0"/>
              <w:rPr>
                <w:rFonts w:ascii="Cambria" w:hAnsi="Cambria" w:cs="Arial"/>
                <w:b/>
                <w:color w:val="262626"/>
                <w:lang w:eastAsia="en-US"/>
              </w:rPr>
            </w:pPr>
            <w:r>
              <w:rPr>
                <w:rFonts w:ascii="Cambria" w:hAnsi="Cambria" w:cs="Arial"/>
                <w:b/>
                <w:color w:val="262626"/>
                <w:lang w:eastAsia="en-US"/>
              </w:rPr>
              <w:t>Kratkoročne obveze</w:t>
            </w:r>
          </w:p>
        </w:tc>
      </w:tr>
    </w:tbl>
    <w:p w14:paraId="5C00D2E7" w14:textId="77777777" w:rsidR="00413177" w:rsidRPr="007229CE" w:rsidRDefault="00413177" w:rsidP="00A02495"/>
    <w:p w14:paraId="26A7DCF5" w14:textId="382D707B" w:rsidR="00AC3ED6" w:rsidRPr="009A1213" w:rsidRDefault="00AC3ED6" w:rsidP="00A02495">
      <w:r w:rsidRPr="009A1213">
        <w:t xml:space="preserve">Na zadnji dan izvještajnog razdoblja </w:t>
      </w:r>
      <w:r w:rsidRPr="009A1213">
        <w:rPr>
          <w:b/>
          <w:bCs/>
        </w:rPr>
        <w:t>kratkoročne obveze</w:t>
      </w:r>
      <w:r w:rsidRPr="009A1213">
        <w:t xml:space="preserve"> Društva su iznosile </w:t>
      </w:r>
      <w:r w:rsidR="004B208F" w:rsidRPr="009A1213">
        <w:t>15.266.368</w:t>
      </w:r>
      <w:r w:rsidR="001A39F2" w:rsidRPr="009A1213">
        <w:t xml:space="preserve"> eura</w:t>
      </w:r>
      <w:r w:rsidRPr="009A1213">
        <w:t xml:space="preserve"> što predstavlja </w:t>
      </w:r>
      <w:r w:rsidR="001A39F2" w:rsidRPr="009A1213">
        <w:t>povećanje</w:t>
      </w:r>
      <w:r w:rsidRPr="009A1213">
        <w:t xml:space="preserve"> od </w:t>
      </w:r>
      <w:r w:rsidR="004B208F" w:rsidRPr="009A1213">
        <w:t>12</w:t>
      </w:r>
      <w:r w:rsidRPr="009A1213">
        <w:t xml:space="preserve">% </w:t>
      </w:r>
      <w:r w:rsidR="001A39F2" w:rsidRPr="009A1213">
        <w:t xml:space="preserve">(ili </w:t>
      </w:r>
      <w:r w:rsidR="00902C76" w:rsidRPr="009A1213">
        <w:t>1.655.499</w:t>
      </w:r>
      <w:r w:rsidR="001A39F2" w:rsidRPr="009A1213">
        <w:t xml:space="preserve"> eura) </w:t>
      </w:r>
      <w:r w:rsidRPr="009A1213">
        <w:t>u odnosu na 31.12.20</w:t>
      </w:r>
      <w:r w:rsidR="00716B41" w:rsidRPr="009A1213">
        <w:t>2</w:t>
      </w:r>
      <w:r w:rsidR="00902C76" w:rsidRPr="009A1213">
        <w:t>3</w:t>
      </w:r>
      <w:r w:rsidRPr="009A1213">
        <w:t xml:space="preserve">. godine. </w:t>
      </w:r>
      <w:r w:rsidR="001A39F2" w:rsidRPr="009A1213">
        <w:t>Povećanje</w:t>
      </w:r>
      <w:r w:rsidR="00A443A3" w:rsidRPr="009A1213">
        <w:t xml:space="preserve"> je uslijedilo </w:t>
      </w:r>
      <w:r w:rsidR="009A1213" w:rsidRPr="009A1213">
        <w:t xml:space="preserve">prvenstveno </w:t>
      </w:r>
      <w:r w:rsidR="00A443A3" w:rsidRPr="009A1213">
        <w:t xml:space="preserve">radi </w:t>
      </w:r>
      <w:r w:rsidR="001A39F2" w:rsidRPr="009A1213">
        <w:t>povećanja</w:t>
      </w:r>
      <w:r w:rsidR="00A443A3" w:rsidRPr="009A1213">
        <w:t xml:space="preserve"> </w:t>
      </w:r>
      <w:r w:rsidR="00902C76" w:rsidRPr="009A1213">
        <w:t>ostalih kratkoročnih obveza (fakturirane i naplaćene naknade za razvoj).</w:t>
      </w:r>
    </w:p>
    <w:p w14:paraId="10D47235" w14:textId="77777777" w:rsidR="00A443A3" w:rsidRPr="009013E3" w:rsidRDefault="00A443A3" w:rsidP="00A02495">
      <w:pPr>
        <w:rPr>
          <w:highlight w:val="magenta"/>
        </w:rPr>
      </w:pPr>
    </w:p>
    <w:p w14:paraId="412E0E81" w14:textId="0A6B732B" w:rsidR="00A443A3" w:rsidRPr="0072506A" w:rsidRDefault="00A443A3" w:rsidP="00A02495">
      <w:r w:rsidRPr="00902C76">
        <w:rPr>
          <w:b/>
          <w:bCs/>
        </w:rPr>
        <w:t>Obveze prema sudjelujućim poduzetnicima</w:t>
      </w:r>
      <w:r w:rsidRPr="0072506A">
        <w:t xml:space="preserve"> </w:t>
      </w:r>
      <w:r w:rsidR="00FE71E9" w:rsidRPr="0072506A">
        <w:t xml:space="preserve">(VSI-Vodoopskrbni sustav Istre, Vodovod Butoniga d.o.o. Buzet) </w:t>
      </w:r>
      <w:r w:rsidRPr="0072506A">
        <w:t>na dan 31.12.202</w:t>
      </w:r>
      <w:r w:rsidR="00600CC5" w:rsidRPr="0072506A">
        <w:t>4</w:t>
      </w:r>
      <w:r w:rsidR="000247ED" w:rsidRPr="0072506A">
        <w:t xml:space="preserve">. godine iznose </w:t>
      </w:r>
      <w:r w:rsidR="00600CC5" w:rsidRPr="0072506A">
        <w:t>25.368</w:t>
      </w:r>
      <w:r w:rsidR="001A39F2" w:rsidRPr="0072506A">
        <w:t xml:space="preserve"> eura</w:t>
      </w:r>
      <w:r w:rsidR="00600CC5" w:rsidRPr="0072506A">
        <w:t>.</w:t>
      </w:r>
    </w:p>
    <w:p w14:paraId="1EEF4DFF" w14:textId="77777777" w:rsidR="006702F4" w:rsidRPr="0072506A" w:rsidRDefault="006702F4" w:rsidP="00A02495">
      <w:pPr>
        <w:rPr>
          <w:highlight w:val="magenta"/>
        </w:rPr>
      </w:pPr>
    </w:p>
    <w:p w14:paraId="5D8FEF06" w14:textId="147DD58D" w:rsidR="006702F4" w:rsidRDefault="006702F4" w:rsidP="00A02495">
      <w:r w:rsidRPr="00902C76">
        <w:rPr>
          <w:b/>
          <w:bCs/>
        </w:rPr>
        <w:t>Obveze za primljena jams</w:t>
      </w:r>
      <w:r w:rsidR="00962757" w:rsidRPr="00902C76">
        <w:rPr>
          <w:b/>
          <w:bCs/>
        </w:rPr>
        <w:t>tva</w:t>
      </w:r>
      <w:r w:rsidR="00962757" w:rsidRPr="0072506A">
        <w:t xml:space="preserve"> iznose </w:t>
      </w:r>
      <w:r w:rsidR="0072506A" w:rsidRPr="0072506A">
        <w:t>115.058</w:t>
      </w:r>
      <w:r w:rsidR="003D21DF" w:rsidRPr="0072506A">
        <w:t xml:space="preserve"> euro</w:t>
      </w:r>
      <w:r w:rsidR="00962757" w:rsidRPr="0072506A">
        <w:t xml:space="preserve"> i predstavljaju novčane pologe kao jamstva za uredno izvršenje obveza temeljem sklopljenih ugovora o javnoj nabavi.</w:t>
      </w:r>
      <w:r w:rsidR="000247ED" w:rsidRPr="0072506A">
        <w:t xml:space="preserve"> U </w:t>
      </w:r>
      <w:r w:rsidR="003D21DF" w:rsidRPr="0072506A">
        <w:t xml:space="preserve">odnosu na </w:t>
      </w:r>
      <w:r w:rsidR="000247ED" w:rsidRPr="0072506A">
        <w:t>202</w:t>
      </w:r>
      <w:r w:rsidR="0072506A" w:rsidRPr="0072506A">
        <w:t>3</w:t>
      </w:r>
      <w:r w:rsidR="000247ED" w:rsidRPr="0072506A">
        <w:t>. godin</w:t>
      </w:r>
      <w:r w:rsidR="003D21DF" w:rsidRPr="0072506A">
        <w:t>u</w:t>
      </w:r>
      <w:r w:rsidR="000247ED" w:rsidRPr="0072506A">
        <w:t xml:space="preserve"> obveze za jamstva</w:t>
      </w:r>
      <w:r w:rsidR="003D21DF" w:rsidRPr="0072506A">
        <w:t xml:space="preserve"> porasle</w:t>
      </w:r>
      <w:r w:rsidR="0072506A" w:rsidRPr="0072506A">
        <w:t xml:space="preserve"> su za </w:t>
      </w:r>
      <w:r w:rsidR="003D21DF" w:rsidRPr="0072506A">
        <w:t xml:space="preserve"> </w:t>
      </w:r>
      <w:r w:rsidR="0072506A" w:rsidRPr="0072506A">
        <w:t>51</w:t>
      </w:r>
      <w:r w:rsidR="003D21DF" w:rsidRPr="0072506A">
        <w:t xml:space="preserve">% ili </w:t>
      </w:r>
      <w:r w:rsidR="0072506A" w:rsidRPr="0072506A">
        <w:t>39.037</w:t>
      </w:r>
      <w:r w:rsidR="003D21DF" w:rsidRPr="0072506A">
        <w:t xml:space="preserve"> eura.</w:t>
      </w:r>
    </w:p>
    <w:p w14:paraId="0E4BF2AC" w14:textId="77777777" w:rsidR="00902C76" w:rsidRPr="0072506A" w:rsidRDefault="00902C76" w:rsidP="00A02495"/>
    <w:p w14:paraId="07D90C43" w14:textId="130A6A06" w:rsidR="00A443A3" w:rsidRDefault="00A443A3" w:rsidP="00A02495">
      <w:r w:rsidRPr="00902C76">
        <w:rPr>
          <w:b/>
          <w:bCs/>
        </w:rPr>
        <w:t xml:space="preserve">Obveze prema </w:t>
      </w:r>
      <w:r w:rsidR="00941D4D" w:rsidRPr="00902C76">
        <w:rPr>
          <w:b/>
          <w:bCs/>
        </w:rPr>
        <w:t xml:space="preserve">bankama i </w:t>
      </w:r>
      <w:r w:rsidR="00FE71E9" w:rsidRPr="00902C76">
        <w:rPr>
          <w:b/>
          <w:bCs/>
        </w:rPr>
        <w:t>leasing kućama</w:t>
      </w:r>
      <w:r w:rsidRPr="00902C76">
        <w:t xml:space="preserve"> iznose </w:t>
      </w:r>
      <w:r w:rsidR="00902C76" w:rsidRPr="00902C76">
        <w:t xml:space="preserve">108.462. U odnosu na prethodnu godinu bilježe porast od 93%. </w:t>
      </w:r>
      <w:r w:rsidR="00D724EE" w:rsidRPr="00902C76">
        <w:t xml:space="preserve">Pozicija se </w:t>
      </w:r>
      <w:r w:rsidRPr="00902C76">
        <w:t>odnos</w:t>
      </w:r>
      <w:r w:rsidR="00D724EE" w:rsidRPr="00902C76">
        <w:t>i</w:t>
      </w:r>
      <w:r w:rsidRPr="00902C76">
        <w:t xml:space="preserve"> na obveze prema </w:t>
      </w:r>
      <w:r w:rsidR="003D21DF" w:rsidRPr="00902C76">
        <w:t>Unicredit leasing Croatia d.o.o. Zagreb</w:t>
      </w:r>
      <w:r w:rsidRPr="00902C76">
        <w:t xml:space="preserve"> koje čine tekuće dospijeće otplate </w:t>
      </w:r>
      <w:r w:rsidRPr="00112F25">
        <w:t xml:space="preserve">leasinga u </w:t>
      </w:r>
      <w:r w:rsidRPr="006A729E">
        <w:t>202</w:t>
      </w:r>
      <w:r w:rsidR="00902C76" w:rsidRPr="006A729E">
        <w:t>5</w:t>
      </w:r>
      <w:r w:rsidRPr="006A729E">
        <w:t>.godini.</w:t>
      </w:r>
    </w:p>
    <w:p w14:paraId="11EAC605" w14:textId="77777777" w:rsidR="00CC6CAB" w:rsidRPr="00902C76" w:rsidRDefault="00CC6CAB" w:rsidP="00A02495"/>
    <w:p w14:paraId="2F33280C" w14:textId="585484E8" w:rsidR="004F0F40" w:rsidRDefault="009E080E" w:rsidP="00A02495">
      <w:r w:rsidRPr="00F82AD5">
        <w:rPr>
          <w:b/>
          <w:bCs/>
        </w:rPr>
        <w:t>Obveze za predujmove</w:t>
      </w:r>
      <w:r w:rsidRPr="0072506A">
        <w:t xml:space="preserve"> iznose </w:t>
      </w:r>
      <w:r w:rsidR="0072506A" w:rsidRPr="0072506A">
        <w:t>594.218</w:t>
      </w:r>
      <w:r w:rsidR="00E40CC1" w:rsidRPr="0072506A">
        <w:t xml:space="preserve"> eura</w:t>
      </w:r>
      <w:r w:rsidRPr="0072506A">
        <w:t xml:space="preserve">, a struktura </w:t>
      </w:r>
      <w:r w:rsidR="00A443A3" w:rsidRPr="0072506A">
        <w:t>je dana u nastavku</w:t>
      </w:r>
      <w:r w:rsidRPr="0072506A">
        <w:t>:</w:t>
      </w:r>
    </w:p>
    <w:p w14:paraId="1116E350" w14:textId="77777777" w:rsidR="00CC6CAB" w:rsidRDefault="00CC6CAB" w:rsidP="00A02495"/>
    <w:p w14:paraId="69AEAED5" w14:textId="77777777" w:rsidR="00E81546" w:rsidRDefault="00E81546" w:rsidP="00A02495"/>
    <w:tbl>
      <w:tblPr>
        <w:tblStyle w:val="Reetkatablice"/>
        <w:tblW w:w="0" w:type="auto"/>
        <w:tblBorders>
          <w:top w:val="single" w:sz="4" w:space="0" w:color="BFBFBF" w:themeColor="background1" w:themeShade="BF"/>
          <w:left w:val="none" w:sz="0" w:space="0" w:color="auto"/>
          <w:bottom w:val="single" w:sz="4" w:space="0" w:color="BFBFBF" w:themeColor="background1" w:themeShade="BF"/>
          <w:right w:val="none" w:sz="0" w:space="0" w:color="auto"/>
          <w:insideH w:val="single" w:sz="4" w:space="0" w:color="BFBFBF" w:themeColor="background1" w:themeShade="BF"/>
          <w:insideV w:val="none" w:sz="0" w:space="0" w:color="auto"/>
        </w:tblBorders>
        <w:tblLook w:val="04A0" w:firstRow="1" w:lastRow="0" w:firstColumn="1" w:lastColumn="0" w:noHBand="0" w:noVBand="1"/>
      </w:tblPr>
      <w:tblGrid>
        <w:gridCol w:w="7083"/>
        <w:gridCol w:w="1979"/>
      </w:tblGrid>
      <w:tr w:rsidR="00E81546" w:rsidRPr="00E81546" w14:paraId="7B5BBFFA" w14:textId="77777777" w:rsidTr="00DC6109">
        <w:trPr>
          <w:trHeight w:val="340"/>
        </w:trPr>
        <w:tc>
          <w:tcPr>
            <w:tcW w:w="7083" w:type="dxa"/>
            <w:tcBorders>
              <w:top w:val="single" w:sz="8" w:space="0" w:color="404040" w:themeColor="text1" w:themeTint="BF"/>
              <w:bottom w:val="single" w:sz="8" w:space="0" w:color="404040" w:themeColor="text1" w:themeTint="BF"/>
            </w:tcBorders>
            <w:shd w:val="clear" w:color="auto" w:fill="BFBFBF" w:themeFill="background1" w:themeFillShade="BF"/>
            <w:vAlign w:val="center"/>
          </w:tcPr>
          <w:p w14:paraId="24FB5E55" w14:textId="6AF80977" w:rsidR="00E81546" w:rsidRPr="00E81546" w:rsidRDefault="00DC6109" w:rsidP="00DC6109">
            <w:pPr>
              <w:jc w:val="left"/>
              <w:rPr>
                <w:b/>
                <w:bCs/>
                <w:sz w:val="18"/>
                <w:szCs w:val="18"/>
              </w:rPr>
            </w:pPr>
            <w:r>
              <w:rPr>
                <w:b/>
                <w:bCs/>
                <w:sz w:val="18"/>
                <w:szCs w:val="18"/>
              </w:rPr>
              <w:t>Primljeni predujmovi</w:t>
            </w:r>
          </w:p>
        </w:tc>
        <w:tc>
          <w:tcPr>
            <w:tcW w:w="1979" w:type="dxa"/>
            <w:tcBorders>
              <w:top w:val="single" w:sz="8" w:space="0" w:color="404040" w:themeColor="text1" w:themeTint="BF"/>
              <w:bottom w:val="single" w:sz="8" w:space="0" w:color="404040" w:themeColor="text1" w:themeTint="BF"/>
            </w:tcBorders>
            <w:shd w:val="clear" w:color="auto" w:fill="BFBFBF" w:themeFill="background1" w:themeFillShade="BF"/>
            <w:vAlign w:val="center"/>
          </w:tcPr>
          <w:p w14:paraId="3CBB1F38" w14:textId="77777777" w:rsidR="00513B34" w:rsidRDefault="00E81546" w:rsidP="00E81546">
            <w:pPr>
              <w:jc w:val="center"/>
              <w:rPr>
                <w:b/>
                <w:bCs/>
                <w:sz w:val="18"/>
                <w:szCs w:val="18"/>
              </w:rPr>
            </w:pPr>
            <w:r w:rsidRPr="00E81546">
              <w:rPr>
                <w:b/>
                <w:bCs/>
                <w:sz w:val="18"/>
                <w:szCs w:val="18"/>
              </w:rPr>
              <w:t xml:space="preserve">Iznos </w:t>
            </w:r>
          </w:p>
          <w:p w14:paraId="5A5EA138" w14:textId="0CFC0EB3" w:rsidR="00E81546" w:rsidRPr="00E81546" w:rsidRDefault="00513B34" w:rsidP="00E81546">
            <w:pPr>
              <w:jc w:val="center"/>
              <w:rPr>
                <w:b/>
                <w:bCs/>
                <w:sz w:val="18"/>
                <w:szCs w:val="18"/>
              </w:rPr>
            </w:pPr>
            <w:r>
              <w:rPr>
                <w:b/>
                <w:bCs/>
                <w:sz w:val="18"/>
                <w:szCs w:val="18"/>
              </w:rPr>
              <w:t>(</w:t>
            </w:r>
            <w:r w:rsidR="00E81546" w:rsidRPr="00E81546">
              <w:rPr>
                <w:b/>
                <w:bCs/>
                <w:sz w:val="18"/>
                <w:szCs w:val="18"/>
              </w:rPr>
              <w:t>u eurima</w:t>
            </w:r>
            <w:r>
              <w:rPr>
                <w:b/>
                <w:bCs/>
                <w:sz w:val="18"/>
                <w:szCs w:val="18"/>
              </w:rPr>
              <w:t>)</w:t>
            </w:r>
          </w:p>
        </w:tc>
      </w:tr>
      <w:tr w:rsidR="00E81546" w:rsidRPr="00E81546" w14:paraId="380B683D" w14:textId="77777777" w:rsidTr="005347D5">
        <w:trPr>
          <w:trHeight w:val="340"/>
        </w:trPr>
        <w:tc>
          <w:tcPr>
            <w:tcW w:w="7083" w:type="dxa"/>
            <w:tcBorders>
              <w:top w:val="single" w:sz="8" w:space="0" w:color="404040" w:themeColor="text1" w:themeTint="BF"/>
            </w:tcBorders>
            <w:vAlign w:val="center"/>
          </w:tcPr>
          <w:p w14:paraId="09E0C379" w14:textId="7DB0BBAF" w:rsidR="00E81546" w:rsidRPr="00E81546" w:rsidRDefault="009A1213" w:rsidP="00E81546">
            <w:pPr>
              <w:jc w:val="left"/>
              <w:rPr>
                <w:sz w:val="18"/>
                <w:szCs w:val="18"/>
              </w:rPr>
            </w:pPr>
            <w:r w:rsidRPr="00E81546">
              <w:rPr>
                <w:sz w:val="18"/>
                <w:szCs w:val="18"/>
                <w:lang w:eastAsia="hr-HR"/>
              </w:rPr>
              <w:t xml:space="preserve">Primljeni predujmovi za priključak vode od pravnih osoba </w:t>
            </w:r>
          </w:p>
        </w:tc>
        <w:tc>
          <w:tcPr>
            <w:tcW w:w="1979" w:type="dxa"/>
            <w:tcBorders>
              <w:top w:val="single" w:sz="8" w:space="0" w:color="404040" w:themeColor="text1" w:themeTint="BF"/>
            </w:tcBorders>
            <w:vAlign w:val="center"/>
          </w:tcPr>
          <w:p w14:paraId="0EB7B0EF" w14:textId="6777B0DE" w:rsidR="00E81546" w:rsidRPr="00E81546" w:rsidRDefault="00E81546" w:rsidP="00E81546">
            <w:pPr>
              <w:jc w:val="right"/>
              <w:rPr>
                <w:sz w:val="18"/>
                <w:szCs w:val="18"/>
              </w:rPr>
            </w:pPr>
            <w:r w:rsidRPr="00E81546">
              <w:rPr>
                <w:sz w:val="18"/>
                <w:szCs w:val="18"/>
                <w:lang w:eastAsia="hr-HR"/>
              </w:rPr>
              <w:t xml:space="preserve">111.839   </w:t>
            </w:r>
          </w:p>
        </w:tc>
      </w:tr>
      <w:tr w:rsidR="00E81546" w:rsidRPr="00E81546" w14:paraId="45BB3875" w14:textId="77777777" w:rsidTr="005347D5">
        <w:trPr>
          <w:trHeight w:val="340"/>
        </w:trPr>
        <w:tc>
          <w:tcPr>
            <w:tcW w:w="7083" w:type="dxa"/>
            <w:vAlign w:val="center"/>
          </w:tcPr>
          <w:p w14:paraId="28AAB478" w14:textId="7AF41D8D" w:rsidR="00E81546" w:rsidRPr="00E81546" w:rsidRDefault="009A1213" w:rsidP="00E81546">
            <w:pPr>
              <w:jc w:val="left"/>
              <w:rPr>
                <w:sz w:val="18"/>
                <w:szCs w:val="18"/>
              </w:rPr>
            </w:pPr>
            <w:r w:rsidRPr="00E81546">
              <w:rPr>
                <w:sz w:val="18"/>
                <w:szCs w:val="18"/>
                <w:lang w:eastAsia="hr-HR"/>
              </w:rPr>
              <w:t xml:space="preserve">Primljeni predujmovi za priključak vode od fizičkih osoba </w:t>
            </w:r>
          </w:p>
        </w:tc>
        <w:tc>
          <w:tcPr>
            <w:tcW w:w="1979" w:type="dxa"/>
            <w:vAlign w:val="center"/>
          </w:tcPr>
          <w:p w14:paraId="37DA1DEF" w14:textId="3ED5D0B8" w:rsidR="00E81546" w:rsidRPr="00E81546" w:rsidRDefault="00E81546" w:rsidP="00E81546">
            <w:pPr>
              <w:jc w:val="right"/>
              <w:rPr>
                <w:sz w:val="18"/>
                <w:szCs w:val="18"/>
              </w:rPr>
            </w:pPr>
            <w:r w:rsidRPr="00E81546">
              <w:rPr>
                <w:sz w:val="18"/>
                <w:szCs w:val="18"/>
                <w:lang w:eastAsia="hr-HR"/>
              </w:rPr>
              <w:t xml:space="preserve">278.845   </w:t>
            </w:r>
          </w:p>
        </w:tc>
      </w:tr>
      <w:tr w:rsidR="00E81546" w:rsidRPr="00E81546" w14:paraId="53641AE6" w14:textId="77777777" w:rsidTr="005347D5">
        <w:trPr>
          <w:trHeight w:val="340"/>
        </w:trPr>
        <w:tc>
          <w:tcPr>
            <w:tcW w:w="7083" w:type="dxa"/>
            <w:vAlign w:val="center"/>
          </w:tcPr>
          <w:p w14:paraId="3A71CA27" w14:textId="6E490E79" w:rsidR="00E81546" w:rsidRPr="00E81546" w:rsidRDefault="009A1213" w:rsidP="00E81546">
            <w:pPr>
              <w:jc w:val="left"/>
              <w:rPr>
                <w:sz w:val="18"/>
                <w:szCs w:val="18"/>
              </w:rPr>
            </w:pPr>
            <w:r w:rsidRPr="00E81546">
              <w:rPr>
                <w:sz w:val="18"/>
                <w:szCs w:val="18"/>
                <w:lang w:eastAsia="hr-HR"/>
              </w:rPr>
              <w:t xml:space="preserve">Primljeni predujmovi za priključak odvodnje od pravnih osoba </w:t>
            </w:r>
          </w:p>
        </w:tc>
        <w:tc>
          <w:tcPr>
            <w:tcW w:w="1979" w:type="dxa"/>
            <w:vAlign w:val="center"/>
          </w:tcPr>
          <w:p w14:paraId="3A65185A" w14:textId="57C7A8D5" w:rsidR="00E81546" w:rsidRPr="00E81546" w:rsidRDefault="00E81546" w:rsidP="00E81546">
            <w:pPr>
              <w:jc w:val="right"/>
              <w:rPr>
                <w:sz w:val="18"/>
                <w:szCs w:val="18"/>
              </w:rPr>
            </w:pPr>
            <w:r w:rsidRPr="00E81546">
              <w:rPr>
                <w:sz w:val="18"/>
                <w:szCs w:val="18"/>
                <w:lang w:eastAsia="hr-HR"/>
              </w:rPr>
              <w:t xml:space="preserve">14.355   </w:t>
            </w:r>
          </w:p>
        </w:tc>
      </w:tr>
      <w:tr w:rsidR="00E81546" w:rsidRPr="00E81546" w14:paraId="29973DBC" w14:textId="77777777" w:rsidTr="005347D5">
        <w:trPr>
          <w:trHeight w:val="340"/>
        </w:trPr>
        <w:tc>
          <w:tcPr>
            <w:tcW w:w="7083" w:type="dxa"/>
            <w:vAlign w:val="center"/>
          </w:tcPr>
          <w:p w14:paraId="4268BA1A" w14:textId="08BC7837" w:rsidR="00E81546" w:rsidRPr="00E81546" w:rsidRDefault="009A1213" w:rsidP="00E81546">
            <w:pPr>
              <w:jc w:val="left"/>
              <w:rPr>
                <w:sz w:val="18"/>
                <w:szCs w:val="18"/>
              </w:rPr>
            </w:pPr>
            <w:r w:rsidRPr="00E81546">
              <w:rPr>
                <w:sz w:val="18"/>
                <w:szCs w:val="18"/>
                <w:lang w:eastAsia="hr-HR"/>
              </w:rPr>
              <w:t xml:space="preserve">Primljeni predujmovi za priključak odvodnje od fizičkih osoba </w:t>
            </w:r>
          </w:p>
        </w:tc>
        <w:tc>
          <w:tcPr>
            <w:tcW w:w="1979" w:type="dxa"/>
            <w:vAlign w:val="center"/>
          </w:tcPr>
          <w:p w14:paraId="46B85B66" w14:textId="4DD14771" w:rsidR="00E81546" w:rsidRPr="00E81546" w:rsidRDefault="00E81546" w:rsidP="00E81546">
            <w:pPr>
              <w:jc w:val="right"/>
              <w:rPr>
                <w:sz w:val="18"/>
                <w:szCs w:val="18"/>
              </w:rPr>
            </w:pPr>
            <w:r w:rsidRPr="00E81546">
              <w:rPr>
                <w:sz w:val="18"/>
                <w:szCs w:val="18"/>
                <w:lang w:eastAsia="hr-HR"/>
              </w:rPr>
              <w:t xml:space="preserve">56.164   </w:t>
            </w:r>
          </w:p>
        </w:tc>
      </w:tr>
      <w:tr w:rsidR="00E81546" w:rsidRPr="00E81546" w14:paraId="7BA42D3C" w14:textId="77777777" w:rsidTr="005347D5">
        <w:trPr>
          <w:trHeight w:val="340"/>
        </w:trPr>
        <w:tc>
          <w:tcPr>
            <w:tcW w:w="7083" w:type="dxa"/>
            <w:vAlign w:val="center"/>
          </w:tcPr>
          <w:p w14:paraId="54DC7B2B" w14:textId="15B34372" w:rsidR="00E81546" w:rsidRPr="00E81546" w:rsidRDefault="009A1213" w:rsidP="00E81546">
            <w:pPr>
              <w:jc w:val="left"/>
              <w:rPr>
                <w:sz w:val="18"/>
                <w:szCs w:val="18"/>
              </w:rPr>
            </w:pPr>
            <w:r w:rsidRPr="00E81546">
              <w:rPr>
                <w:sz w:val="18"/>
                <w:szCs w:val="18"/>
                <w:lang w:eastAsia="hr-HR"/>
              </w:rPr>
              <w:t xml:space="preserve">Pretplata za ostale usluge </w:t>
            </w:r>
          </w:p>
        </w:tc>
        <w:tc>
          <w:tcPr>
            <w:tcW w:w="1979" w:type="dxa"/>
            <w:vAlign w:val="center"/>
          </w:tcPr>
          <w:p w14:paraId="296DFD89" w14:textId="7518DBBD" w:rsidR="00E81546" w:rsidRPr="00E81546" w:rsidRDefault="00E81546" w:rsidP="00E81546">
            <w:pPr>
              <w:jc w:val="right"/>
              <w:rPr>
                <w:sz w:val="18"/>
                <w:szCs w:val="18"/>
              </w:rPr>
            </w:pPr>
            <w:r w:rsidRPr="00E81546">
              <w:rPr>
                <w:sz w:val="18"/>
                <w:szCs w:val="18"/>
                <w:lang w:eastAsia="hr-HR"/>
              </w:rPr>
              <w:t xml:space="preserve">28.749   </w:t>
            </w:r>
          </w:p>
        </w:tc>
      </w:tr>
      <w:tr w:rsidR="00E81546" w:rsidRPr="00E81546" w14:paraId="7749C481" w14:textId="77777777" w:rsidTr="005347D5">
        <w:trPr>
          <w:trHeight w:val="340"/>
        </w:trPr>
        <w:tc>
          <w:tcPr>
            <w:tcW w:w="7083" w:type="dxa"/>
            <w:vAlign w:val="center"/>
          </w:tcPr>
          <w:p w14:paraId="5C6B80E7" w14:textId="42F7FC32" w:rsidR="00E81546" w:rsidRPr="00E81546" w:rsidRDefault="009A1213" w:rsidP="00E81546">
            <w:pPr>
              <w:jc w:val="left"/>
              <w:rPr>
                <w:sz w:val="18"/>
                <w:szCs w:val="18"/>
              </w:rPr>
            </w:pPr>
            <w:r w:rsidRPr="00E81546">
              <w:rPr>
                <w:sz w:val="18"/>
                <w:szCs w:val="18"/>
                <w:lang w:eastAsia="hr-HR"/>
              </w:rPr>
              <w:t xml:space="preserve">Pretplata za vodu (pravne osobe) </w:t>
            </w:r>
          </w:p>
        </w:tc>
        <w:tc>
          <w:tcPr>
            <w:tcW w:w="1979" w:type="dxa"/>
            <w:vAlign w:val="center"/>
          </w:tcPr>
          <w:p w14:paraId="233D0732" w14:textId="47F4CB09" w:rsidR="00E81546" w:rsidRPr="00E81546" w:rsidRDefault="00E81546" w:rsidP="00E81546">
            <w:pPr>
              <w:jc w:val="right"/>
              <w:rPr>
                <w:sz w:val="18"/>
                <w:szCs w:val="18"/>
              </w:rPr>
            </w:pPr>
            <w:r w:rsidRPr="00E81546">
              <w:rPr>
                <w:sz w:val="18"/>
                <w:szCs w:val="18"/>
                <w:lang w:eastAsia="hr-HR"/>
              </w:rPr>
              <w:t xml:space="preserve">56.414   </w:t>
            </w:r>
          </w:p>
        </w:tc>
      </w:tr>
      <w:tr w:rsidR="00E81546" w:rsidRPr="00E81546" w14:paraId="03DDCA37" w14:textId="77777777" w:rsidTr="005347D5">
        <w:trPr>
          <w:trHeight w:val="340"/>
        </w:trPr>
        <w:tc>
          <w:tcPr>
            <w:tcW w:w="7083" w:type="dxa"/>
            <w:vAlign w:val="center"/>
          </w:tcPr>
          <w:p w14:paraId="4B79CFF7" w14:textId="22508269" w:rsidR="00E81546" w:rsidRPr="00E81546" w:rsidRDefault="009A1213" w:rsidP="00E81546">
            <w:pPr>
              <w:jc w:val="left"/>
              <w:rPr>
                <w:sz w:val="18"/>
                <w:szCs w:val="18"/>
              </w:rPr>
            </w:pPr>
            <w:r w:rsidRPr="00E81546">
              <w:rPr>
                <w:sz w:val="18"/>
                <w:szCs w:val="18"/>
                <w:lang w:eastAsia="hr-HR"/>
              </w:rPr>
              <w:t xml:space="preserve">Pretplate za vodu (domaćinstva) </w:t>
            </w:r>
          </w:p>
        </w:tc>
        <w:tc>
          <w:tcPr>
            <w:tcW w:w="1979" w:type="dxa"/>
            <w:vAlign w:val="center"/>
          </w:tcPr>
          <w:p w14:paraId="1B2C0C3A" w14:textId="396507C4" w:rsidR="00E81546" w:rsidRPr="00E81546" w:rsidRDefault="00E81546" w:rsidP="00E81546">
            <w:pPr>
              <w:jc w:val="right"/>
              <w:rPr>
                <w:sz w:val="18"/>
                <w:szCs w:val="18"/>
              </w:rPr>
            </w:pPr>
            <w:r w:rsidRPr="00E81546">
              <w:rPr>
                <w:sz w:val="18"/>
                <w:szCs w:val="18"/>
                <w:lang w:eastAsia="hr-HR"/>
              </w:rPr>
              <w:t xml:space="preserve">9.145   </w:t>
            </w:r>
          </w:p>
        </w:tc>
      </w:tr>
      <w:tr w:rsidR="00E81546" w:rsidRPr="00E81546" w14:paraId="0E4A9154" w14:textId="77777777" w:rsidTr="005347D5">
        <w:trPr>
          <w:trHeight w:val="340"/>
        </w:trPr>
        <w:tc>
          <w:tcPr>
            <w:tcW w:w="7083" w:type="dxa"/>
            <w:vAlign w:val="center"/>
          </w:tcPr>
          <w:p w14:paraId="14C7C8A5" w14:textId="0F6D448B" w:rsidR="00E81546" w:rsidRPr="00E81546" w:rsidRDefault="009A1213" w:rsidP="00E81546">
            <w:pPr>
              <w:jc w:val="left"/>
              <w:rPr>
                <w:sz w:val="18"/>
                <w:szCs w:val="18"/>
              </w:rPr>
            </w:pPr>
            <w:r w:rsidRPr="00E81546">
              <w:rPr>
                <w:sz w:val="18"/>
                <w:szCs w:val="18"/>
                <w:lang w:eastAsia="hr-HR"/>
              </w:rPr>
              <w:t>Primljeni predujam (otkup tendera, izdavanje suglasnosti)</w:t>
            </w:r>
          </w:p>
        </w:tc>
        <w:tc>
          <w:tcPr>
            <w:tcW w:w="1979" w:type="dxa"/>
            <w:vAlign w:val="center"/>
          </w:tcPr>
          <w:p w14:paraId="4F691B56" w14:textId="1CFF8FAE" w:rsidR="00E81546" w:rsidRPr="00E81546" w:rsidRDefault="00E81546" w:rsidP="00E81546">
            <w:pPr>
              <w:jc w:val="right"/>
              <w:rPr>
                <w:sz w:val="18"/>
                <w:szCs w:val="18"/>
              </w:rPr>
            </w:pPr>
            <w:r w:rsidRPr="00E81546">
              <w:rPr>
                <w:sz w:val="18"/>
                <w:szCs w:val="18"/>
                <w:lang w:eastAsia="hr-HR"/>
              </w:rPr>
              <w:t xml:space="preserve">83   </w:t>
            </w:r>
          </w:p>
        </w:tc>
      </w:tr>
      <w:tr w:rsidR="00E81546" w:rsidRPr="00E81546" w14:paraId="2E7B5BE6" w14:textId="77777777" w:rsidTr="005347D5">
        <w:trPr>
          <w:trHeight w:val="340"/>
        </w:trPr>
        <w:tc>
          <w:tcPr>
            <w:tcW w:w="7083" w:type="dxa"/>
            <w:vAlign w:val="center"/>
          </w:tcPr>
          <w:p w14:paraId="333F4E34" w14:textId="775C8F1D" w:rsidR="00E81546" w:rsidRPr="00E81546" w:rsidRDefault="009A1213" w:rsidP="00E81546">
            <w:pPr>
              <w:jc w:val="left"/>
              <w:rPr>
                <w:sz w:val="18"/>
                <w:szCs w:val="18"/>
              </w:rPr>
            </w:pPr>
            <w:r w:rsidRPr="00E81546">
              <w:rPr>
                <w:sz w:val="18"/>
                <w:szCs w:val="18"/>
                <w:lang w:eastAsia="hr-HR"/>
              </w:rPr>
              <w:t xml:space="preserve">Primljeni predujam (ostale nepotpune uplate i sl). </w:t>
            </w:r>
          </w:p>
        </w:tc>
        <w:tc>
          <w:tcPr>
            <w:tcW w:w="1979" w:type="dxa"/>
            <w:vAlign w:val="center"/>
          </w:tcPr>
          <w:p w14:paraId="1EA802AD" w14:textId="5DB2D166" w:rsidR="00E81546" w:rsidRPr="00E81546" w:rsidRDefault="00E81546" w:rsidP="00E81546">
            <w:pPr>
              <w:jc w:val="right"/>
              <w:rPr>
                <w:sz w:val="18"/>
                <w:szCs w:val="18"/>
              </w:rPr>
            </w:pPr>
            <w:r w:rsidRPr="00E81546">
              <w:rPr>
                <w:sz w:val="18"/>
                <w:szCs w:val="18"/>
                <w:lang w:eastAsia="hr-HR"/>
              </w:rPr>
              <w:t xml:space="preserve">23.619   </w:t>
            </w:r>
          </w:p>
        </w:tc>
      </w:tr>
      <w:tr w:rsidR="00E81546" w:rsidRPr="00E81546" w14:paraId="29F49D1D" w14:textId="77777777" w:rsidTr="005347D5">
        <w:trPr>
          <w:trHeight w:val="340"/>
        </w:trPr>
        <w:tc>
          <w:tcPr>
            <w:tcW w:w="7083" w:type="dxa"/>
            <w:vAlign w:val="center"/>
          </w:tcPr>
          <w:p w14:paraId="2A281B6E" w14:textId="404434BD" w:rsidR="00E81546" w:rsidRPr="00E81546" w:rsidRDefault="009A1213" w:rsidP="00E81546">
            <w:pPr>
              <w:jc w:val="left"/>
              <w:rPr>
                <w:sz w:val="18"/>
                <w:szCs w:val="18"/>
              </w:rPr>
            </w:pPr>
            <w:r w:rsidRPr="00E81546">
              <w:rPr>
                <w:sz w:val="18"/>
                <w:szCs w:val="18"/>
                <w:lang w:eastAsia="hr-HR"/>
              </w:rPr>
              <w:t>Predujam za obradu predmeta (nepotpuna uplata)</w:t>
            </w:r>
          </w:p>
        </w:tc>
        <w:tc>
          <w:tcPr>
            <w:tcW w:w="1979" w:type="dxa"/>
            <w:vAlign w:val="center"/>
          </w:tcPr>
          <w:p w14:paraId="5FB12566" w14:textId="2848BD4B" w:rsidR="00E81546" w:rsidRPr="00E81546" w:rsidRDefault="00E81546" w:rsidP="00E81546">
            <w:pPr>
              <w:jc w:val="right"/>
              <w:rPr>
                <w:sz w:val="18"/>
                <w:szCs w:val="18"/>
              </w:rPr>
            </w:pPr>
            <w:r w:rsidRPr="00E81546">
              <w:rPr>
                <w:sz w:val="18"/>
                <w:szCs w:val="18"/>
                <w:lang w:eastAsia="hr-HR"/>
              </w:rPr>
              <w:t xml:space="preserve">13.998   </w:t>
            </w:r>
          </w:p>
        </w:tc>
      </w:tr>
      <w:tr w:rsidR="00E81546" w:rsidRPr="00E81546" w14:paraId="0AC4D5DB" w14:textId="77777777" w:rsidTr="005347D5">
        <w:trPr>
          <w:trHeight w:val="340"/>
        </w:trPr>
        <w:tc>
          <w:tcPr>
            <w:tcW w:w="7083" w:type="dxa"/>
            <w:vAlign w:val="center"/>
          </w:tcPr>
          <w:p w14:paraId="6684259D" w14:textId="2F0CCD03" w:rsidR="00E81546" w:rsidRPr="00E81546" w:rsidRDefault="009A1213" w:rsidP="00E81546">
            <w:pPr>
              <w:jc w:val="left"/>
              <w:rPr>
                <w:sz w:val="18"/>
                <w:szCs w:val="18"/>
                <w:lang w:eastAsia="hr-HR"/>
              </w:rPr>
            </w:pPr>
            <w:r w:rsidRPr="00E81546">
              <w:rPr>
                <w:sz w:val="18"/>
                <w:szCs w:val="18"/>
                <w:lang w:eastAsia="hr-HR"/>
              </w:rPr>
              <w:t xml:space="preserve">Predujam za fiksni dio osnovne cijene (stambeni prostori) </w:t>
            </w:r>
          </w:p>
        </w:tc>
        <w:tc>
          <w:tcPr>
            <w:tcW w:w="1979" w:type="dxa"/>
            <w:vAlign w:val="center"/>
          </w:tcPr>
          <w:p w14:paraId="76A3F397" w14:textId="194D1F18" w:rsidR="00E81546" w:rsidRPr="00E81546" w:rsidRDefault="00E81546" w:rsidP="00E81546">
            <w:pPr>
              <w:jc w:val="right"/>
              <w:rPr>
                <w:sz w:val="18"/>
                <w:szCs w:val="18"/>
                <w:lang w:eastAsia="hr-HR"/>
              </w:rPr>
            </w:pPr>
            <w:r w:rsidRPr="00E81546">
              <w:rPr>
                <w:sz w:val="18"/>
                <w:szCs w:val="18"/>
                <w:lang w:eastAsia="hr-HR"/>
              </w:rPr>
              <w:t xml:space="preserve">233   </w:t>
            </w:r>
          </w:p>
        </w:tc>
      </w:tr>
      <w:tr w:rsidR="00E81546" w:rsidRPr="00E81546" w14:paraId="40352C7F" w14:textId="77777777" w:rsidTr="005347D5">
        <w:trPr>
          <w:trHeight w:val="340"/>
        </w:trPr>
        <w:tc>
          <w:tcPr>
            <w:tcW w:w="7083" w:type="dxa"/>
            <w:tcBorders>
              <w:bottom w:val="single" w:sz="8" w:space="0" w:color="404040" w:themeColor="text1" w:themeTint="BF"/>
            </w:tcBorders>
            <w:vAlign w:val="center"/>
          </w:tcPr>
          <w:p w14:paraId="383E5A9F" w14:textId="3F5FB0E2" w:rsidR="00E81546" w:rsidRPr="00E81546" w:rsidRDefault="009A1213" w:rsidP="00E81546">
            <w:pPr>
              <w:jc w:val="left"/>
              <w:rPr>
                <w:sz w:val="18"/>
                <w:szCs w:val="18"/>
                <w:lang w:eastAsia="hr-HR"/>
              </w:rPr>
            </w:pPr>
            <w:r w:rsidRPr="00E81546">
              <w:rPr>
                <w:sz w:val="18"/>
                <w:szCs w:val="18"/>
                <w:lang w:eastAsia="hr-HR"/>
              </w:rPr>
              <w:t>Ostali</w:t>
            </w:r>
            <w:r w:rsidR="00E81546" w:rsidRPr="00E81546">
              <w:rPr>
                <w:sz w:val="18"/>
                <w:szCs w:val="18"/>
                <w:lang w:eastAsia="hr-HR"/>
              </w:rPr>
              <w:t xml:space="preserve"> predujam</w:t>
            </w:r>
          </w:p>
        </w:tc>
        <w:tc>
          <w:tcPr>
            <w:tcW w:w="1979" w:type="dxa"/>
            <w:tcBorders>
              <w:bottom w:val="single" w:sz="8" w:space="0" w:color="404040" w:themeColor="text1" w:themeTint="BF"/>
            </w:tcBorders>
            <w:vAlign w:val="center"/>
          </w:tcPr>
          <w:p w14:paraId="4B275D5A" w14:textId="4D197BE9" w:rsidR="00E81546" w:rsidRPr="00E81546" w:rsidRDefault="00E81546" w:rsidP="00E81546">
            <w:pPr>
              <w:jc w:val="right"/>
              <w:rPr>
                <w:sz w:val="18"/>
                <w:szCs w:val="18"/>
                <w:lang w:eastAsia="hr-HR"/>
              </w:rPr>
            </w:pPr>
            <w:r w:rsidRPr="00E81546">
              <w:rPr>
                <w:sz w:val="18"/>
                <w:szCs w:val="18"/>
                <w:lang w:eastAsia="hr-HR"/>
              </w:rPr>
              <w:t xml:space="preserve">775   </w:t>
            </w:r>
          </w:p>
        </w:tc>
      </w:tr>
      <w:tr w:rsidR="00E81546" w:rsidRPr="00E81546" w14:paraId="76EBF9A6" w14:textId="77777777" w:rsidTr="005347D5">
        <w:trPr>
          <w:trHeight w:val="340"/>
        </w:trPr>
        <w:tc>
          <w:tcPr>
            <w:tcW w:w="7083" w:type="dxa"/>
            <w:tcBorders>
              <w:top w:val="single" w:sz="8" w:space="0" w:color="404040" w:themeColor="text1" w:themeTint="BF"/>
              <w:bottom w:val="single" w:sz="8" w:space="0" w:color="404040" w:themeColor="text1" w:themeTint="BF"/>
            </w:tcBorders>
            <w:vAlign w:val="center"/>
          </w:tcPr>
          <w:p w14:paraId="3C57145B" w14:textId="34448B3E" w:rsidR="00E81546" w:rsidRPr="00E81546" w:rsidRDefault="00E81546" w:rsidP="00E81546">
            <w:pPr>
              <w:jc w:val="left"/>
              <w:rPr>
                <w:b/>
                <w:bCs/>
                <w:sz w:val="18"/>
                <w:szCs w:val="18"/>
                <w:lang w:eastAsia="hr-HR"/>
              </w:rPr>
            </w:pPr>
            <w:r w:rsidRPr="00E81546">
              <w:rPr>
                <w:b/>
                <w:bCs/>
                <w:sz w:val="18"/>
                <w:szCs w:val="18"/>
                <w:lang w:eastAsia="hr-HR"/>
              </w:rPr>
              <w:t>Ukupno</w:t>
            </w:r>
          </w:p>
        </w:tc>
        <w:tc>
          <w:tcPr>
            <w:tcW w:w="1979" w:type="dxa"/>
            <w:tcBorders>
              <w:top w:val="single" w:sz="8" w:space="0" w:color="404040" w:themeColor="text1" w:themeTint="BF"/>
              <w:bottom w:val="single" w:sz="8" w:space="0" w:color="404040" w:themeColor="text1" w:themeTint="BF"/>
            </w:tcBorders>
            <w:vAlign w:val="center"/>
          </w:tcPr>
          <w:p w14:paraId="73B4B761" w14:textId="04E657A0" w:rsidR="00E81546" w:rsidRPr="00E81546" w:rsidRDefault="00E81546" w:rsidP="00E81546">
            <w:pPr>
              <w:jc w:val="right"/>
              <w:rPr>
                <w:b/>
                <w:bCs/>
                <w:sz w:val="18"/>
                <w:szCs w:val="18"/>
                <w:lang w:eastAsia="hr-HR"/>
              </w:rPr>
            </w:pPr>
            <w:r w:rsidRPr="00E81546">
              <w:rPr>
                <w:b/>
                <w:bCs/>
                <w:sz w:val="18"/>
                <w:szCs w:val="18"/>
                <w:lang w:eastAsia="hr-HR"/>
              </w:rPr>
              <w:fldChar w:fldCharType="begin"/>
            </w:r>
            <w:r w:rsidRPr="00E81546">
              <w:rPr>
                <w:b/>
                <w:bCs/>
                <w:sz w:val="18"/>
                <w:szCs w:val="18"/>
                <w:lang w:eastAsia="hr-HR"/>
              </w:rPr>
              <w:instrText xml:space="preserve"> =SUM(ABOVE) </w:instrText>
            </w:r>
            <w:r w:rsidRPr="00E81546">
              <w:rPr>
                <w:b/>
                <w:bCs/>
                <w:sz w:val="18"/>
                <w:szCs w:val="18"/>
                <w:lang w:eastAsia="hr-HR"/>
              </w:rPr>
              <w:fldChar w:fldCharType="separate"/>
            </w:r>
            <w:r w:rsidRPr="00E81546">
              <w:rPr>
                <w:b/>
                <w:bCs/>
                <w:noProof/>
                <w:sz w:val="18"/>
                <w:szCs w:val="18"/>
                <w:lang w:eastAsia="hr-HR"/>
              </w:rPr>
              <w:t>594.21</w:t>
            </w:r>
            <w:r w:rsidRPr="00E81546">
              <w:rPr>
                <w:b/>
                <w:bCs/>
                <w:sz w:val="18"/>
                <w:szCs w:val="18"/>
                <w:lang w:eastAsia="hr-HR"/>
              </w:rPr>
              <w:fldChar w:fldCharType="end"/>
            </w:r>
            <w:r w:rsidRPr="00E81546">
              <w:rPr>
                <w:b/>
                <w:bCs/>
                <w:sz w:val="18"/>
                <w:szCs w:val="18"/>
                <w:lang w:eastAsia="hr-HR"/>
              </w:rPr>
              <w:t>8</w:t>
            </w:r>
          </w:p>
        </w:tc>
      </w:tr>
    </w:tbl>
    <w:p w14:paraId="65A2FD71" w14:textId="77777777" w:rsidR="00E81546" w:rsidRPr="0072506A" w:rsidRDefault="00E81546" w:rsidP="00A02495"/>
    <w:p w14:paraId="77A28117" w14:textId="102D0089" w:rsidR="009E080E" w:rsidRPr="008D7D38" w:rsidRDefault="00117DC7" w:rsidP="00A02495">
      <w:r w:rsidRPr="00F82AD5">
        <w:rPr>
          <w:b/>
          <w:bCs/>
        </w:rPr>
        <w:t>O</w:t>
      </w:r>
      <w:r w:rsidR="00A443A3" w:rsidRPr="00F82AD5">
        <w:rPr>
          <w:b/>
          <w:bCs/>
        </w:rPr>
        <w:t>bveze prema dobavljačima</w:t>
      </w:r>
      <w:r w:rsidR="00A443A3" w:rsidRPr="008D7D38">
        <w:t xml:space="preserve"> evidentirane su u iznosu od </w:t>
      </w:r>
      <w:r w:rsidR="0072506A" w:rsidRPr="008D7D38">
        <w:t>2.942.466</w:t>
      </w:r>
      <w:r w:rsidR="00F9216A" w:rsidRPr="008D7D38">
        <w:t xml:space="preserve"> eura</w:t>
      </w:r>
      <w:r w:rsidR="00A443A3" w:rsidRPr="008D7D38">
        <w:t xml:space="preserve"> </w:t>
      </w:r>
      <w:r w:rsidR="00E6641A" w:rsidRPr="008D7D38">
        <w:t xml:space="preserve">i </w:t>
      </w:r>
      <w:r w:rsidR="00A443A3" w:rsidRPr="008D7D38">
        <w:t xml:space="preserve">bilježi </w:t>
      </w:r>
      <w:r w:rsidR="00F9216A" w:rsidRPr="008D7D38">
        <w:t>povećanje</w:t>
      </w:r>
      <w:r w:rsidR="00A443A3" w:rsidRPr="008D7D38">
        <w:t xml:space="preserve"> od </w:t>
      </w:r>
      <w:r w:rsidR="0072506A" w:rsidRPr="008D7D38">
        <w:t>30</w:t>
      </w:r>
      <w:r w:rsidR="00A443A3" w:rsidRPr="008D7D38">
        <w:t>%</w:t>
      </w:r>
      <w:r w:rsidR="00E6641A" w:rsidRPr="008D7D38">
        <w:t xml:space="preserve"> (odnosno </w:t>
      </w:r>
      <w:r w:rsidR="0072506A" w:rsidRPr="008D7D38">
        <w:t>684.822</w:t>
      </w:r>
      <w:r w:rsidR="009A48AA" w:rsidRPr="008D7D38">
        <w:t xml:space="preserve"> eura</w:t>
      </w:r>
      <w:r w:rsidR="00E6641A" w:rsidRPr="008D7D38">
        <w:t>)</w:t>
      </w:r>
      <w:r w:rsidRPr="008D7D38">
        <w:t xml:space="preserve"> </w:t>
      </w:r>
      <w:r w:rsidR="00E6641A" w:rsidRPr="008D7D38">
        <w:t>u odnosu na prethodnu</w:t>
      </w:r>
      <w:r w:rsidR="00B17F79" w:rsidRPr="008D7D38">
        <w:t xml:space="preserve"> </w:t>
      </w:r>
      <w:r w:rsidR="00E6641A" w:rsidRPr="008D7D38">
        <w:t xml:space="preserve">godinu. </w:t>
      </w:r>
      <w:r w:rsidR="00B17F79" w:rsidRPr="008D7D38">
        <w:t xml:space="preserve">Obveze prema dobavljačima za osnovna sredstva iznose </w:t>
      </w:r>
      <w:r w:rsidR="003A6FC8">
        <w:t>1.973.110</w:t>
      </w:r>
      <w:r w:rsidR="009A48AA" w:rsidRPr="008D7D38">
        <w:t xml:space="preserve"> eura</w:t>
      </w:r>
      <w:r w:rsidR="00B17F79" w:rsidRPr="008D7D38">
        <w:t xml:space="preserve">, a obveze prema dobavljačima za obrtna sredstva iznose </w:t>
      </w:r>
      <w:r w:rsidR="003A6FC8">
        <w:t>969.356</w:t>
      </w:r>
      <w:r w:rsidR="009A48AA" w:rsidRPr="008D7D38">
        <w:t xml:space="preserve"> eura</w:t>
      </w:r>
      <w:r w:rsidR="00B17F79" w:rsidRPr="008D7D38">
        <w:t xml:space="preserve">. </w:t>
      </w:r>
      <w:r w:rsidR="00C64E75" w:rsidRPr="008D7D38">
        <w:t>Obveze prema dobavljačima podmiruju se prema rokovima dospijeća</w:t>
      </w:r>
      <w:r w:rsidR="00843B05" w:rsidRPr="008D7D38">
        <w:t>.</w:t>
      </w:r>
    </w:p>
    <w:p w14:paraId="303F3782" w14:textId="77777777" w:rsidR="00FD0FEB" w:rsidRPr="009013E3" w:rsidRDefault="00FD0FEB" w:rsidP="00A02495">
      <w:pPr>
        <w:rPr>
          <w:highlight w:val="magenta"/>
        </w:rPr>
      </w:pPr>
    </w:p>
    <w:p w14:paraId="04413C4A" w14:textId="1576F8BB" w:rsidR="00A443A3" w:rsidRPr="003A6FC8" w:rsidRDefault="00A443A3" w:rsidP="00A02495">
      <w:r w:rsidRPr="003A6FC8">
        <w:t xml:space="preserve">Obveze evidentirane na pozicijama </w:t>
      </w:r>
      <w:r w:rsidRPr="00F82AD5">
        <w:rPr>
          <w:b/>
          <w:bCs/>
        </w:rPr>
        <w:t>obveza prema radnicima</w:t>
      </w:r>
      <w:r w:rsidRPr="003A6FC8">
        <w:t xml:space="preserve"> (</w:t>
      </w:r>
      <w:r w:rsidR="008D7D38" w:rsidRPr="003A6FC8">
        <w:t>385.711</w:t>
      </w:r>
      <w:r w:rsidR="00CC0CE1" w:rsidRPr="003A6FC8">
        <w:t xml:space="preserve"> eura</w:t>
      </w:r>
      <w:r w:rsidRPr="003A6FC8">
        <w:t xml:space="preserve">) i </w:t>
      </w:r>
      <w:r w:rsidRPr="00F82AD5">
        <w:rPr>
          <w:b/>
          <w:bCs/>
        </w:rPr>
        <w:t>obveza za poreze, doprinose i druga javna davanja</w:t>
      </w:r>
      <w:r w:rsidRPr="003A6FC8">
        <w:t xml:space="preserve"> (</w:t>
      </w:r>
      <w:r w:rsidR="00924895">
        <w:t>219.298</w:t>
      </w:r>
      <w:r w:rsidR="00CC0CE1" w:rsidRPr="003A6FC8">
        <w:t xml:space="preserve"> eura</w:t>
      </w:r>
      <w:r w:rsidRPr="003A6FC8">
        <w:t xml:space="preserve">) odnose </w:t>
      </w:r>
      <w:r w:rsidR="00EE4D1B" w:rsidRPr="003A6FC8">
        <w:t xml:space="preserve">sa </w:t>
      </w:r>
      <w:r w:rsidRPr="003A6FC8">
        <w:t>na plaću obračunatu u prosincu 202</w:t>
      </w:r>
      <w:r w:rsidR="008D7D38" w:rsidRPr="003A6FC8">
        <w:t>4</w:t>
      </w:r>
      <w:r w:rsidRPr="003A6FC8">
        <w:t xml:space="preserve">. godine a koja se isplaćuje u siječnju </w:t>
      </w:r>
      <w:r w:rsidR="00CC6CAB">
        <w:t>2025.</w:t>
      </w:r>
      <w:r w:rsidRPr="003A6FC8">
        <w:t xml:space="preserve"> godine.</w:t>
      </w:r>
      <w:r w:rsidR="00924895">
        <w:t xml:space="preserve"> U okviru obveza za poreze, doprinose i druga javna davanja nalaze se i obveze za porez na dodanu vrijednost u iznosu od 60 eura, te obveze za doprinos za općekorisne funkcije šuma u iznosu od 1.420 eura.</w:t>
      </w:r>
    </w:p>
    <w:p w14:paraId="55B28FFD" w14:textId="77777777" w:rsidR="00A443A3" w:rsidRPr="009013E3" w:rsidRDefault="00A443A3" w:rsidP="00A02495">
      <w:pPr>
        <w:rPr>
          <w:highlight w:val="magenta"/>
        </w:rPr>
      </w:pPr>
    </w:p>
    <w:p w14:paraId="3E4AC416" w14:textId="721A3937" w:rsidR="001074E8" w:rsidRPr="00AC5A3D" w:rsidRDefault="00530CC9" w:rsidP="00A02495">
      <w:r w:rsidRPr="00F82AD5">
        <w:rPr>
          <w:b/>
          <w:bCs/>
        </w:rPr>
        <w:t>Ostale kratkoročne</w:t>
      </w:r>
      <w:r w:rsidR="0005777B" w:rsidRPr="00F82AD5">
        <w:rPr>
          <w:b/>
          <w:bCs/>
        </w:rPr>
        <w:t xml:space="preserve"> obveze</w:t>
      </w:r>
      <w:r w:rsidR="00F4431A" w:rsidRPr="00AC5A3D">
        <w:t xml:space="preserve"> </w:t>
      </w:r>
      <w:r w:rsidR="00773A28" w:rsidRPr="00AC5A3D">
        <w:t xml:space="preserve">na </w:t>
      </w:r>
      <w:r w:rsidR="00A443A3" w:rsidRPr="00AC5A3D">
        <w:t xml:space="preserve">posljednji dan izvještavanja su iznosile </w:t>
      </w:r>
      <w:r w:rsidR="008D7D38" w:rsidRPr="00AC5A3D">
        <w:t>10.</w:t>
      </w:r>
      <w:r w:rsidR="001125DA">
        <w:t>874</w:t>
      </w:r>
      <w:r w:rsidR="008D7D38" w:rsidRPr="00AC5A3D">
        <w:t>.</w:t>
      </w:r>
      <w:r w:rsidR="001125DA">
        <w:t>309</w:t>
      </w:r>
      <w:r w:rsidR="00CC0CE1" w:rsidRPr="00AC5A3D">
        <w:t xml:space="preserve"> eura</w:t>
      </w:r>
      <w:r w:rsidR="00A443A3" w:rsidRPr="00AC5A3D">
        <w:t xml:space="preserve"> te kao takve bilježe </w:t>
      </w:r>
      <w:r w:rsidR="00CC0CE1" w:rsidRPr="00AC5A3D">
        <w:t>porast</w:t>
      </w:r>
      <w:r w:rsidR="00A443A3" w:rsidRPr="00AC5A3D">
        <w:t xml:space="preserve"> od </w:t>
      </w:r>
      <w:r w:rsidR="009A1213">
        <w:t>9</w:t>
      </w:r>
      <w:r w:rsidR="00A443A3" w:rsidRPr="00AC5A3D">
        <w:t>%</w:t>
      </w:r>
      <w:r w:rsidR="00B17F79" w:rsidRPr="00AC5A3D">
        <w:t xml:space="preserve"> </w:t>
      </w:r>
      <w:r w:rsidR="00A443A3" w:rsidRPr="00AC5A3D">
        <w:t>u odnosu na pre</w:t>
      </w:r>
      <w:r w:rsidR="004A2065" w:rsidRPr="00AC5A3D">
        <w:t>thodnu godinu.</w:t>
      </w:r>
      <w:r w:rsidR="00B17F79" w:rsidRPr="00AC5A3D">
        <w:t xml:space="preserve"> </w:t>
      </w:r>
    </w:p>
    <w:p w14:paraId="55515E67" w14:textId="77777777" w:rsidR="001074E8" w:rsidRPr="00AC5A3D" w:rsidRDefault="001074E8" w:rsidP="00A02495"/>
    <w:p w14:paraId="2D9F6A2A" w14:textId="77777777" w:rsidR="00A443A3" w:rsidRPr="00AC5A3D" w:rsidRDefault="004A2065" w:rsidP="00A02495">
      <w:r w:rsidRPr="00AC5A3D">
        <w:t xml:space="preserve">Struktura </w:t>
      </w:r>
      <w:r w:rsidR="001074E8" w:rsidRPr="00AC5A3D">
        <w:t>ostalih kratkoročnih obveza</w:t>
      </w:r>
      <w:r w:rsidRPr="00AC5A3D">
        <w:t xml:space="preserve"> j</w:t>
      </w:r>
      <w:r w:rsidR="00A443A3" w:rsidRPr="00AC5A3D">
        <w:t>e slijedeća:</w:t>
      </w:r>
    </w:p>
    <w:tbl>
      <w:tblPr>
        <w:tblW w:w="8840" w:type="dxa"/>
        <w:tblInd w:w="93" w:type="dxa"/>
        <w:tblBorders>
          <w:top w:val="single" w:sz="4" w:space="0" w:color="BFBFBF" w:themeColor="background1" w:themeShade="BF"/>
          <w:bottom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540"/>
        <w:gridCol w:w="1300"/>
      </w:tblGrid>
      <w:tr w:rsidR="00CC0CE1" w:rsidRPr="00513B34" w14:paraId="3456AA1A" w14:textId="77777777" w:rsidTr="00513B34">
        <w:trPr>
          <w:trHeight w:val="342"/>
        </w:trPr>
        <w:tc>
          <w:tcPr>
            <w:tcW w:w="7540" w:type="dxa"/>
            <w:tcBorders>
              <w:top w:val="single" w:sz="8" w:space="0" w:color="404040" w:themeColor="text1" w:themeTint="BF"/>
              <w:bottom w:val="single" w:sz="8" w:space="0" w:color="404040" w:themeColor="text1" w:themeTint="BF"/>
            </w:tcBorders>
            <w:shd w:val="clear" w:color="000000" w:fill="D9D9D9"/>
            <w:vAlign w:val="center"/>
            <w:hideMark/>
          </w:tcPr>
          <w:p w14:paraId="57B89171" w14:textId="0E4BAC6B" w:rsidR="00CC0CE1" w:rsidRPr="00112F25" w:rsidRDefault="00CC0CE1" w:rsidP="00513B34">
            <w:pPr>
              <w:jc w:val="left"/>
              <w:rPr>
                <w:b/>
                <w:bCs/>
                <w:sz w:val="18"/>
                <w:szCs w:val="18"/>
                <w:lang w:eastAsia="hr-HR"/>
              </w:rPr>
            </w:pPr>
            <w:r w:rsidRPr="00112F25">
              <w:rPr>
                <w:b/>
                <w:bCs/>
                <w:sz w:val="18"/>
                <w:szCs w:val="18"/>
                <w:lang w:eastAsia="hr-HR"/>
              </w:rPr>
              <w:t>Ostale kratkoročne obveze na dan 31.12.202</w:t>
            </w:r>
            <w:r w:rsidR="005D4C4F" w:rsidRPr="00112F25">
              <w:rPr>
                <w:b/>
                <w:bCs/>
                <w:sz w:val="18"/>
                <w:szCs w:val="18"/>
                <w:lang w:eastAsia="hr-HR"/>
              </w:rPr>
              <w:t>4</w:t>
            </w:r>
            <w:r w:rsidRPr="00112F25">
              <w:rPr>
                <w:b/>
                <w:bCs/>
                <w:sz w:val="18"/>
                <w:szCs w:val="18"/>
                <w:lang w:eastAsia="hr-HR"/>
              </w:rPr>
              <w:t>.</w:t>
            </w:r>
          </w:p>
        </w:tc>
        <w:tc>
          <w:tcPr>
            <w:tcW w:w="1300" w:type="dxa"/>
            <w:tcBorders>
              <w:top w:val="single" w:sz="8" w:space="0" w:color="404040" w:themeColor="text1" w:themeTint="BF"/>
              <w:bottom w:val="single" w:sz="8" w:space="0" w:color="404040" w:themeColor="text1" w:themeTint="BF"/>
            </w:tcBorders>
            <w:shd w:val="clear" w:color="000000" w:fill="D9D9D9"/>
            <w:vAlign w:val="center"/>
            <w:hideMark/>
          </w:tcPr>
          <w:p w14:paraId="770A557F" w14:textId="77777777" w:rsidR="00CC0CE1" w:rsidRPr="00112F25" w:rsidRDefault="00513B34" w:rsidP="00513B34">
            <w:pPr>
              <w:jc w:val="center"/>
              <w:rPr>
                <w:b/>
                <w:bCs/>
                <w:sz w:val="18"/>
                <w:szCs w:val="18"/>
                <w:lang w:eastAsia="hr-HR"/>
              </w:rPr>
            </w:pPr>
            <w:r w:rsidRPr="00112F25">
              <w:rPr>
                <w:b/>
                <w:bCs/>
                <w:sz w:val="18"/>
                <w:szCs w:val="18"/>
                <w:lang w:eastAsia="hr-HR"/>
              </w:rPr>
              <w:t>Iznos</w:t>
            </w:r>
          </w:p>
          <w:p w14:paraId="5EB08121" w14:textId="0AC0754A" w:rsidR="00513B34" w:rsidRPr="00112F25" w:rsidRDefault="00513B34" w:rsidP="00513B34">
            <w:pPr>
              <w:jc w:val="center"/>
              <w:rPr>
                <w:b/>
                <w:bCs/>
                <w:sz w:val="18"/>
                <w:szCs w:val="18"/>
                <w:lang w:eastAsia="hr-HR"/>
              </w:rPr>
            </w:pPr>
            <w:r w:rsidRPr="00112F25">
              <w:rPr>
                <w:b/>
                <w:bCs/>
                <w:sz w:val="18"/>
                <w:szCs w:val="18"/>
                <w:lang w:eastAsia="hr-HR"/>
              </w:rPr>
              <w:t>(u eurima)</w:t>
            </w:r>
          </w:p>
        </w:tc>
      </w:tr>
      <w:tr w:rsidR="00CC0CE1" w:rsidRPr="00513B34" w14:paraId="5E917B56" w14:textId="77777777" w:rsidTr="00513B34">
        <w:trPr>
          <w:trHeight w:val="342"/>
        </w:trPr>
        <w:tc>
          <w:tcPr>
            <w:tcW w:w="7540" w:type="dxa"/>
            <w:tcBorders>
              <w:top w:val="single" w:sz="8" w:space="0" w:color="404040" w:themeColor="text1" w:themeTint="BF"/>
            </w:tcBorders>
            <w:shd w:val="clear" w:color="auto" w:fill="auto"/>
            <w:noWrap/>
            <w:vAlign w:val="center"/>
            <w:hideMark/>
          </w:tcPr>
          <w:p w14:paraId="7BC87C7C" w14:textId="77777777" w:rsidR="00CC0CE1" w:rsidRPr="00112F25" w:rsidRDefault="00CC0CE1" w:rsidP="00513B34">
            <w:pPr>
              <w:jc w:val="left"/>
              <w:rPr>
                <w:sz w:val="18"/>
                <w:szCs w:val="18"/>
                <w:lang w:eastAsia="hr-HR"/>
              </w:rPr>
            </w:pPr>
            <w:r w:rsidRPr="00112F25">
              <w:rPr>
                <w:sz w:val="18"/>
                <w:szCs w:val="18"/>
                <w:lang w:eastAsia="hr-HR"/>
              </w:rPr>
              <w:t>Naknada za razvoj sustava javne vodoopskrbe</w:t>
            </w:r>
          </w:p>
        </w:tc>
        <w:tc>
          <w:tcPr>
            <w:tcW w:w="1300" w:type="dxa"/>
            <w:tcBorders>
              <w:top w:val="single" w:sz="8" w:space="0" w:color="404040" w:themeColor="text1" w:themeTint="BF"/>
            </w:tcBorders>
            <w:shd w:val="clear" w:color="auto" w:fill="auto"/>
            <w:vAlign w:val="center"/>
            <w:hideMark/>
          </w:tcPr>
          <w:p w14:paraId="555CA778" w14:textId="31AF0D87" w:rsidR="00CC0CE1" w:rsidRPr="00112F25" w:rsidRDefault="00AC5A3D" w:rsidP="00513B34">
            <w:pPr>
              <w:jc w:val="right"/>
              <w:rPr>
                <w:sz w:val="18"/>
                <w:szCs w:val="18"/>
                <w:lang w:eastAsia="hr-HR"/>
              </w:rPr>
            </w:pPr>
            <w:r w:rsidRPr="00112F25">
              <w:rPr>
                <w:sz w:val="18"/>
                <w:szCs w:val="18"/>
                <w:lang w:eastAsia="hr-HR"/>
              </w:rPr>
              <w:t>2.235.425</w:t>
            </w:r>
          </w:p>
        </w:tc>
      </w:tr>
      <w:tr w:rsidR="00CC0CE1" w:rsidRPr="00513B34" w14:paraId="0A9327FC" w14:textId="77777777" w:rsidTr="00513B34">
        <w:trPr>
          <w:trHeight w:val="342"/>
        </w:trPr>
        <w:tc>
          <w:tcPr>
            <w:tcW w:w="7540" w:type="dxa"/>
            <w:shd w:val="clear" w:color="auto" w:fill="auto"/>
            <w:noWrap/>
            <w:vAlign w:val="center"/>
            <w:hideMark/>
          </w:tcPr>
          <w:p w14:paraId="0E357CCB" w14:textId="77777777" w:rsidR="00CC0CE1" w:rsidRPr="00112F25" w:rsidRDefault="00CC0CE1" w:rsidP="00513B34">
            <w:pPr>
              <w:jc w:val="left"/>
              <w:rPr>
                <w:sz w:val="18"/>
                <w:szCs w:val="18"/>
                <w:lang w:eastAsia="hr-HR"/>
              </w:rPr>
            </w:pPr>
            <w:r w:rsidRPr="00112F25">
              <w:rPr>
                <w:sz w:val="18"/>
                <w:szCs w:val="18"/>
                <w:lang w:eastAsia="hr-HR"/>
              </w:rPr>
              <w:t>Naknada za razvoj sustava javne odvodnje</w:t>
            </w:r>
          </w:p>
        </w:tc>
        <w:tc>
          <w:tcPr>
            <w:tcW w:w="1300" w:type="dxa"/>
            <w:shd w:val="clear" w:color="auto" w:fill="auto"/>
            <w:vAlign w:val="center"/>
            <w:hideMark/>
          </w:tcPr>
          <w:p w14:paraId="35013676" w14:textId="0BF1E774" w:rsidR="00CC0CE1" w:rsidRPr="00112F25" w:rsidRDefault="00CC0CE1" w:rsidP="00513B34">
            <w:pPr>
              <w:jc w:val="right"/>
              <w:rPr>
                <w:sz w:val="18"/>
                <w:szCs w:val="18"/>
                <w:lang w:eastAsia="hr-HR"/>
              </w:rPr>
            </w:pPr>
            <w:r w:rsidRPr="00112F25">
              <w:rPr>
                <w:sz w:val="18"/>
                <w:szCs w:val="18"/>
                <w:lang w:eastAsia="hr-HR"/>
              </w:rPr>
              <w:t>7.</w:t>
            </w:r>
            <w:r w:rsidR="00AC5A3D" w:rsidRPr="00112F25">
              <w:rPr>
                <w:sz w:val="18"/>
                <w:szCs w:val="18"/>
                <w:lang w:eastAsia="hr-HR"/>
              </w:rPr>
              <w:t>785.829</w:t>
            </w:r>
          </w:p>
        </w:tc>
      </w:tr>
      <w:tr w:rsidR="00CC0CE1" w:rsidRPr="00513B34" w14:paraId="1C8AB896" w14:textId="77777777" w:rsidTr="00513B34">
        <w:trPr>
          <w:trHeight w:val="342"/>
        </w:trPr>
        <w:tc>
          <w:tcPr>
            <w:tcW w:w="7540" w:type="dxa"/>
            <w:shd w:val="clear" w:color="auto" w:fill="auto"/>
            <w:noWrap/>
            <w:vAlign w:val="center"/>
            <w:hideMark/>
          </w:tcPr>
          <w:p w14:paraId="4A719D3A" w14:textId="77777777" w:rsidR="00CC0CE1" w:rsidRPr="00112F25" w:rsidRDefault="00CC0CE1" w:rsidP="00513B34">
            <w:pPr>
              <w:jc w:val="left"/>
              <w:rPr>
                <w:sz w:val="18"/>
                <w:szCs w:val="18"/>
                <w:lang w:eastAsia="hr-HR"/>
              </w:rPr>
            </w:pPr>
            <w:r w:rsidRPr="00112F25">
              <w:rPr>
                <w:sz w:val="18"/>
                <w:szCs w:val="18"/>
                <w:lang w:eastAsia="hr-HR"/>
              </w:rPr>
              <w:t>Naknada za korištene voda</w:t>
            </w:r>
          </w:p>
        </w:tc>
        <w:tc>
          <w:tcPr>
            <w:tcW w:w="1300" w:type="dxa"/>
            <w:shd w:val="clear" w:color="auto" w:fill="auto"/>
            <w:vAlign w:val="center"/>
            <w:hideMark/>
          </w:tcPr>
          <w:p w14:paraId="03A99A22" w14:textId="2C380175" w:rsidR="00CC0CE1" w:rsidRPr="00112F25" w:rsidRDefault="00AC5A3D" w:rsidP="00513B34">
            <w:pPr>
              <w:jc w:val="right"/>
              <w:rPr>
                <w:sz w:val="18"/>
                <w:szCs w:val="18"/>
                <w:lang w:eastAsia="hr-HR"/>
              </w:rPr>
            </w:pPr>
            <w:r w:rsidRPr="00112F25">
              <w:rPr>
                <w:sz w:val="18"/>
                <w:szCs w:val="18"/>
                <w:lang w:eastAsia="hr-HR"/>
              </w:rPr>
              <w:t>311.5</w:t>
            </w:r>
            <w:r w:rsidR="00112F25" w:rsidRPr="00112F25">
              <w:rPr>
                <w:sz w:val="18"/>
                <w:szCs w:val="18"/>
                <w:lang w:eastAsia="hr-HR"/>
              </w:rPr>
              <w:t>72</w:t>
            </w:r>
          </w:p>
        </w:tc>
      </w:tr>
      <w:tr w:rsidR="00CC0CE1" w:rsidRPr="00513B34" w14:paraId="480EA28C" w14:textId="77777777" w:rsidTr="00513B34">
        <w:trPr>
          <w:trHeight w:val="342"/>
        </w:trPr>
        <w:tc>
          <w:tcPr>
            <w:tcW w:w="7540" w:type="dxa"/>
            <w:shd w:val="clear" w:color="auto" w:fill="auto"/>
            <w:noWrap/>
            <w:vAlign w:val="center"/>
            <w:hideMark/>
          </w:tcPr>
          <w:p w14:paraId="10D808BE" w14:textId="77777777" w:rsidR="00CC0CE1" w:rsidRPr="00112F25" w:rsidRDefault="00CC0CE1" w:rsidP="00513B34">
            <w:pPr>
              <w:jc w:val="left"/>
              <w:rPr>
                <w:sz w:val="18"/>
                <w:szCs w:val="18"/>
                <w:lang w:eastAsia="hr-HR"/>
              </w:rPr>
            </w:pPr>
            <w:r w:rsidRPr="00112F25">
              <w:rPr>
                <w:sz w:val="18"/>
                <w:szCs w:val="18"/>
                <w:lang w:eastAsia="hr-HR"/>
              </w:rPr>
              <w:t>Naknada za zaštitu voda</w:t>
            </w:r>
          </w:p>
        </w:tc>
        <w:tc>
          <w:tcPr>
            <w:tcW w:w="1300" w:type="dxa"/>
            <w:shd w:val="clear" w:color="auto" w:fill="auto"/>
            <w:vAlign w:val="center"/>
            <w:hideMark/>
          </w:tcPr>
          <w:p w14:paraId="4AD427FB" w14:textId="66FD25F5" w:rsidR="00CC0CE1" w:rsidRPr="00112F25" w:rsidRDefault="00112F25" w:rsidP="00513B34">
            <w:pPr>
              <w:jc w:val="right"/>
              <w:rPr>
                <w:sz w:val="18"/>
                <w:szCs w:val="18"/>
                <w:lang w:eastAsia="hr-HR"/>
              </w:rPr>
            </w:pPr>
            <w:r w:rsidRPr="00112F25">
              <w:rPr>
                <w:sz w:val="18"/>
                <w:szCs w:val="18"/>
                <w:lang w:eastAsia="hr-HR"/>
              </w:rPr>
              <w:t>1</w:t>
            </w:r>
            <w:r w:rsidR="00AC5A3D" w:rsidRPr="00112F25">
              <w:rPr>
                <w:sz w:val="18"/>
                <w:szCs w:val="18"/>
                <w:lang w:eastAsia="hr-HR"/>
              </w:rPr>
              <w:t>31.9</w:t>
            </w:r>
            <w:r w:rsidRPr="00112F25">
              <w:rPr>
                <w:sz w:val="18"/>
                <w:szCs w:val="18"/>
                <w:lang w:eastAsia="hr-HR"/>
              </w:rPr>
              <w:t>10</w:t>
            </w:r>
          </w:p>
        </w:tc>
      </w:tr>
      <w:tr w:rsidR="00CC0CE1" w:rsidRPr="00513B34" w14:paraId="17134724" w14:textId="77777777" w:rsidTr="00513B34">
        <w:trPr>
          <w:trHeight w:val="342"/>
        </w:trPr>
        <w:tc>
          <w:tcPr>
            <w:tcW w:w="7540" w:type="dxa"/>
            <w:tcBorders>
              <w:bottom w:val="single" w:sz="8" w:space="0" w:color="404040" w:themeColor="text1" w:themeTint="BF"/>
            </w:tcBorders>
            <w:shd w:val="clear" w:color="auto" w:fill="auto"/>
            <w:noWrap/>
            <w:vAlign w:val="center"/>
            <w:hideMark/>
          </w:tcPr>
          <w:p w14:paraId="747EB0F2" w14:textId="77777777" w:rsidR="00CC0CE1" w:rsidRPr="00112F25" w:rsidRDefault="00CC0CE1" w:rsidP="00513B34">
            <w:pPr>
              <w:jc w:val="left"/>
              <w:rPr>
                <w:sz w:val="18"/>
                <w:szCs w:val="18"/>
                <w:lang w:eastAsia="hr-HR"/>
              </w:rPr>
            </w:pPr>
            <w:r w:rsidRPr="00112F25">
              <w:rPr>
                <w:sz w:val="18"/>
                <w:szCs w:val="18"/>
                <w:lang w:eastAsia="hr-HR"/>
              </w:rPr>
              <w:t>Ostalo</w:t>
            </w:r>
            <w:r w:rsidR="00D04768" w:rsidRPr="00112F25">
              <w:rPr>
                <w:sz w:val="18"/>
                <w:szCs w:val="18"/>
                <w:lang w:eastAsia="hr-HR"/>
              </w:rPr>
              <w:t xml:space="preserve"> (naknada za</w:t>
            </w:r>
            <w:r w:rsidR="00941D4D" w:rsidRPr="00112F25">
              <w:rPr>
                <w:sz w:val="18"/>
                <w:szCs w:val="18"/>
                <w:lang w:eastAsia="hr-HR"/>
              </w:rPr>
              <w:t xml:space="preserve"> Albanež d.o.o., IVS d.o.o.</w:t>
            </w:r>
            <w:r w:rsidR="00D04768" w:rsidRPr="00112F25">
              <w:rPr>
                <w:sz w:val="18"/>
                <w:szCs w:val="18"/>
                <w:lang w:eastAsia="hr-HR"/>
              </w:rPr>
              <w:t>)</w:t>
            </w:r>
          </w:p>
        </w:tc>
        <w:tc>
          <w:tcPr>
            <w:tcW w:w="1300" w:type="dxa"/>
            <w:tcBorders>
              <w:bottom w:val="single" w:sz="8" w:space="0" w:color="404040" w:themeColor="text1" w:themeTint="BF"/>
            </w:tcBorders>
            <w:shd w:val="clear" w:color="auto" w:fill="auto"/>
            <w:vAlign w:val="center"/>
            <w:hideMark/>
          </w:tcPr>
          <w:p w14:paraId="3B5716D2" w14:textId="2EA9E657" w:rsidR="00CC0CE1" w:rsidRPr="00112F25" w:rsidRDefault="00AC5A3D" w:rsidP="00513B34">
            <w:pPr>
              <w:jc w:val="right"/>
              <w:rPr>
                <w:sz w:val="18"/>
                <w:szCs w:val="18"/>
                <w:lang w:eastAsia="hr-HR"/>
              </w:rPr>
            </w:pPr>
            <w:r w:rsidRPr="00112F25">
              <w:rPr>
                <w:sz w:val="18"/>
                <w:szCs w:val="18"/>
                <w:lang w:eastAsia="hr-HR"/>
              </w:rPr>
              <w:t>409.</w:t>
            </w:r>
            <w:r w:rsidR="00112F25" w:rsidRPr="00112F25">
              <w:rPr>
                <w:sz w:val="18"/>
                <w:szCs w:val="18"/>
                <w:lang w:eastAsia="hr-HR"/>
              </w:rPr>
              <w:t>573</w:t>
            </w:r>
          </w:p>
        </w:tc>
      </w:tr>
      <w:tr w:rsidR="00CC0CE1" w:rsidRPr="00513B34" w14:paraId="6B94FBE9" w14:textId="77777777" w:rsidTr="00513B34">
        <w:trPr>
          <w:trHeight w:val="342"/>
        </w:trPr>
        <w:tc>
          <w:tcPr>
            <w:tcW w:w="7540" w:type="dxa"/>
            <w:tcBorders>
              <w:top w:val="single" w:sz="8" w:space="0" w:color="404040" w:themeColor="text1" w:themeTint="BF"/>
              <w:bottom w:val="single" w:sz="8" w:space="0" w:color="404040" w:themeColor="text1" w:themeTint="BF"/>
            </w:tcBorders>
            <w:shd w:val="clear" w:color="auto" w:fill="auto"/>
            <w:noWrap/>
            <w:vAlign w:val="center"/>
            <w:hideMark/>
          </w:tcPr>
          <w:p w14:paraId="599CE32E" w14:textId="796CA53B" w:rsidR="00CC0CE1" w:rsidRPr="00513B34" w:rsidRDefault="00CC0CE1" w:rsidP="00513B34">
            <w:pPr>
              <w:jc w:val="left"/>
              <w:rPr>
                <w:b/>
                <w:bCs/>
                <w:sz w:val="18"/>
                <w:szCs w:val="18"/>
                <w:highlight w:val="cyan"/>
                <w:lang w:eastAsia="hr-HR"/>
              </w:rPr>
            </w:pPr>
            <w:r w:rsidRPr="00112F25">
              <w:rPr>
                <w:b/>
                <w:bCs/>
                <w:sz w:val="18"/>
                <w:szCs w:val="18"/>
                <w:lang w:eastAsia="hr-HR"/>
              </w:rPr>
              <w:t>Ukupno</w:t>
            </w:r>
          </w:p>
        </w:tc>
        <w:tc>
          <w:tcPr>
            <w:tcW w:w="1300" w:type="dxa"/>
            <w:tcBorders>
              <w:top w:val="single" w:sz="8" w:space="0" w:color="404040" w:themeColor="text1" w:themeTint="BF"/>
              <w:bottom w:val="single" w:sz="8" w:space="0" w:color="404040" w:themeColor="text1" w:themeTint="BF"/>
            </w:tcBorders>
            <w:shd w:val="clear" w:color="auto" w:fill="auto"/>
            <w:vAlign w:val="center"/>
            <w:hideMark/>
          </w:tcPr>
          <w:p w14:paraId="72C430E7" w14:textId="31BD0264" w:rsidR="00CC0CE1" w:rsidRPr="00513B34" w:rsidRDefault="00112F25" w:rsidP="00513B34">
            <w:pPr>
              <w:jc w:val="right"/>
              <w:rPr>
                <w:b/>
                <w:bCs/>
                <w:sz w:val="18"/>
                <w:szCs w:val="18"/>
                <w:lang w:eastAsia="hr-HR"/>
              </w:rPr>
            </w:pPr>
            <w:r>
              <w:rPr>
                <w:b/>
                <w:bCs/>
                <w:sz w:val="18"/>
                <w:szCs w:val="18"/>
                <w:lang w:eastAsia="hr-HR"/>
              </w:rPr>
              <w:t>10.874.309</w:t>
            </w:r>
          </w:p>
        </w:tc>
      </w:tr>
    </w:tbl>
    <w:p w14:paraId="4D910C5C" w14:textId="77777777" w:rsidR="00F11E9E" w:rsidRPr="00513B34" w:rsidRDefault="00F11E9E" w:rsidP="00A02495">
      <w:pPr>
        <w:rPr>
          <w:b/>
          <w:bCs/>
          <w:highlight w:val="magenta"/>
        </w:rPr>
      </w:pPr>
    </w:p>
    <w:p w14:paraId="2F0599A5" w14:textId="77777777" w:rsidR="00F11E9E" w:rsidRPr="00AC5A3D" w:rsidRDefault="00F11E9E" w:rsidP="00A02495">
      <w:r w:rsidRPr="00AC5A3D">
        <w:t xml:space="preserve">Društvo od korisnika vodnih usluga putem računa za vodne usluge obračunava i naplaćuje naknade propisane Zakonom o financiranju vodnog gospodarstva i Odlukama Županije Istarske, kao i Ugovorima koje je </w:t>
      </w:r>
      <w:r w:rsidR="00422076" w:rsidRPr="00AC5A3D">
        <w:t>Društvo</w:t>
      </w:r>
      <w:r w:rsidRPr="00AC5A3D">
        <w:t xml:space="preserve"> sklopil</w:t>
      </w:r>
      <w:r w:rsidR="00422076" w:rsidRPr="00AC5A3D">
        <w:t>o</w:t>
      </w:r>
      <w:r w:rsidRPr="00AC5A3D">
        <w:t xml:space="preserve"> s </w:t>
      </w:r>
      <w:r w:rsidR="00920B23" w:rsidRPr="00AC5A3D">
        <w:t>društvom</w:t>
      </w:r>
      <w:r w:rsidRPr="00AC5A3D">
        <w:t xml:space="preserve"> Albanež d.o.o., </w:t>
      </w:r>
      <w:r w:rsidR="00C540B1" w:rsidRPr="00AC5A3D">
        <w:t>te I.V.S – Istarskim vodozaštitinm sustavom d.o.o. Buzet</w:t>
      </w:r>
      <w:r w:rsidRPr="00AC5A3D">
        <w:t xml:space="preserve">. Obveza za naknade nastaje </w:t>
      </w:r>
      <w:r w:rsidR="00E7426D" w:rsidRPr="00AC5A3D">
        <w:t>izdavanjem</w:t>
      </w:r>
      <w:r w:rsidRPr="00AC5A3D">
        <w:t xml:space="preserve"> računa za </w:t>
      </w:r>
      <w:r w:rsidR="00E30F72" w:rsidRPr="00AC5A3D">
        <w:t xml:space="preserve">vodne </w:t>
      </w:r>
      <w:r w:rsidR="00E30F72" w:rsidRPr="00AC5A3D">
        <w:lastRenderedPageBreak/>
        <w:t>usluge</w:t>
      </w:r>
      <w:r w:rsidR="00920B23" w:rsidRPr="00AC5A3D">
        <w:t xml:space="preserve"> </w:t>
      </w:r>
      <w:r w:rsidR="0047182D" w:rsidRPr="00AC5A3D">
        <w:t>Društvu</w:t>
      </w:r>
      <w:r w:rsidRPr="00AC5A3D">
        <w:t>, a naplaćena naknada doznačuje se Korisnicima u propisanom, odnosno ugovorenom roku.</w:t>
      </w:r>
    </w:p>
    <w:p w14:paraId="04E40B1D" w14:textId="77777777" w:rsidR="00920B23" w:rsidRPr="009013E3" w:rsidRDefault="00920B23" w:rsidP="00A02495">
      <w:pPr>
        <w:rPr>
          <w:highlight w:val="magenta"/>
        </w:rPr>
      </w:pPr>
    </w:p>
    <w:p w14:paraId="3B8B058B" w14:textId="77777777" w:rsidR="008066B4" w:rsidRPr="00AC5A3D" w:rsidRDefault="0029065B" w:rsidP="00A02495">
      <w:r w:rsidRPr="00AC5A3D">
        <w:t>Sukladno Odluci o naknadi za razvoj sustava javne vodoopskrbe i primjeno</w:t>
      </w:r>
      <w:r w:rsidR="00DE5BD3" w:rsidRPr="00AC5A3D">
        <w:t>m</w:t>
      </w:r>
      <w:r w:rsidRPr="00AC5A3D">
        <w:t xml:space="preserve"> od 01.01.2012.</w:t>
      </w:r>
      <w:r w:rsidR="001C5C38" w:rsidRPr="00AC5A3D">
        <w:t xml:space="preserve"> </w:t>
      </w:r>
      <w:r w:rsidRPr="00AC5A3D">
        <w:t>godine uvod</w:t>
      </w:r>
      <w:r w:rsidR="00F111D5" w:rsidRPr="00AC5A3D">
        <w:t>i</w:t>
      </w:r>
      <w:r w:rsidRPr="00AC5A3D">
        <w:t xml:space="preserve"> se obveza plaćanja naknade za ra</w:t>
      </w:r>
      <w:r w:rsidR="00E30F72" w:rsidRPr="00AC5A3D">
        <w:t>z</w:t>
      </w:r>
      <w:r w:rsidRPr="00AC5A3D">
        <w:t xml:space="preserve">voj sustava javne vodoopskrbe na vodoopskrbnom području </w:t>
      </w:r>
      <w:r w:rsidR="00D17DBB" w:rsidRPr="00AC5A3D">
        <w:t>o</w:t>
      </w:r>
      <w:r w:rsidRPr="00AC5A3D">
        <w:t xml:space="preserve">pćine </w:t>
      </w:r>
      <w:r w:rsidR="00DE5BD3" w:rsidRPr="00AC5A3D">
        <w:t>B</w:t>
      </w:r>
      <w:r w:rsidRPr="00AC5A3D">
        <w:t>arban, Ližnjan, Marčana i Svetvinčenat, a sa primjenom od 01.03.2012.</w:t>
      </w:r>
      <w:r w:rsidR="001C5C38" w:rsidRPr="00AC5A3D">
        <w:t xml:space="preserve"> </w:t>
      </w:r>
      <w:r w:rsidRPr="00AC5A3D">
        <w:t xml:space="preserve">godine na području </w:t>
      </w:r>
      <w:r w:rsidR="00D17DBB" w:rsidRPr="00AC5A3D">
        <w:t>g</w:t>
      </w:r>
      <w:r w:rsidRPr="00AC5A3D">
        <w:t>rada Pule i Vodnjana, te općine Medulin.</w:t>
      </w:r>
      <w:r w:rsidR="00575DBF" w:rsidRPr="00AC5A3D">
        <w:t xml:space="preserve"> Od 01.08.2013. godine u s</w:t>
      </w:r>
      <w:r w:rsidR="00B92468" w:rsidRPr="00AC5A3D">
        <w:t>k</w:t>
      </w:r>
      <w:r w:rsidR="00575DBF" w:rsidRPr="00AC5A3D">
        <w:t xml:space="preserve">ladu sa Odlukom </w:t>
      </w:r>
      <w:r w:rsidR="00D17DBB" w:rsidRPr="00AC5A3D">
        <w:t>o</w:t>
      </w:r>
      <w:r w:rsidR="00575DBF" w:rsidRPr="00AC5A3D">
        <w:t xml:space="preserve">pćine Fažana uvodi </w:t>
      </w:r>
      <w:r w:rsidR="00932FC3" w:rsidRPr="00AC5A3D">
        <w:t xml:space="preserve">se </w:t>
      </w:r>
      <w:r w:rsidR="00575DBF" w:rsidRPr="00AC5A3D">
        <w:t xml:space="preserve">obveza plaćanja naknade za razvoj sustava javne </w:t>
      </w:r>
      <w:r w:rsidR="00A56185" w:rsidRPr="00AC5A3D">
        <w:t>vodoopskrbe</w:t>
      </w:r>
      <w:r w:rsidR="00575DBF" w:rsidRPr="00AC5A3D">
        <w:t xml:space="preserve"> na području Općine Fažana.</w:t>
      </w:r>
      <w:r w:rsidR="008066B4" w:rsidRPr="00AC5A3D">
        <w:t xml:space="preserve"> Na području grada Pule </w:t>
      </w:r>
      <w:r w:rsidR="00B77846" w:rsidRPr="00AC5A3D">
        <w:t xml:space="preserve">od 01. rujna 2018. godine </w:t>
      </w:r>
      <w:r w:rsidR="008066B4" w:rsidRPr="00AC5A3D">
        <w:t>izvršena je korekcija visine naknade za razvoj sustava javne vodoopskrbe na vodoopskrbnom području grada</w:t>
      </w:r>
      <w:r w:rsidR="00B77846" w:rsidRPr="00AC5A3D">
        <w:t xml:space="preserve"> </w:t>
      </w:r>
      <w:r w:rsidR="008066B4" w:rsidRPr="00AC5A3D">
        <w:t xml:space="preserve">u visini od </w:t>
      </w:r>
      <w:r w:rsidR="00DB6E17" w:rsidRPr="00AC5A3D">
        <w:t>0,13272 euro/ m</w:t>
      </w:r>
      <w:r w:rsidR="00DB6E17" w:rsidRPr="00AC5A3D">
        <w:rPr>
          <w:vertAlign w:val="superscript"/>
        </w:rPr>
        <w:t>3</w:t>
      </w:r>
      <w:r w:rsidR="00DB6E17" w:rsidRPr="00AC5A3D">
        <w:t xml:space="preserve"> (</w:t>
      </w:r>
      <w:r w:rsidR="008066B4" w:rsidRPr="00AC5A3D">
        <w:t>1 kune/m</w:t>
      </w:r>
      <w:r w:rsidR="008066B4" w:rsidRPr="00AC5A3D">
        <w:rPr>
          <w:vertAlign w:val="superscript"/>
        </w:rPr>
        <w:t>3</w:t>
      </w:r>
      <w:r w:rsidR="00DB6E17" w:rsidRPr="00AC5A3D">
        <w:t>).</w:t>
      </w:r>
    </w:p>
    <w:p w14:paraId="5F606D33" w14:textId="77777777" w:rsidR="00C540B1" w:rsidRPr="00AC5A3D" w:rsidRDefault="00C540B1" w:rsidP="00A02495"/>
    <w:p w14:paraId="14BD7B7E" w14:textId="77777777" w:rsidR="00AC5A3D" w:rsidRDefault="00C540B1" w:rsidP="00A02495">
      <w:r w:rsidRPr="00AC5A3D">
        <w:t>Sukladno Zakonu o financiranju vodnog gospodarstva</w:t>
      </w:r>
      <w:r w:rsidR="00962757" w:rsidRPr="00AC5A3D">
        <w:t>,</w:t>
      </w:r>
      <w:r w:rsidRPr="00AC5A3D">
        <w:t xml:space="preserve"> Skupština društva </w:t>
      </w:r>
      <w:r w:rsidR="00962757" w:rsidRPr="00AC5A3D">
        <w:t xml:space="preserve">je dana 27.06.2022. godine </w:t>
      </w:r>
      <w:r w:rsidRPr="00AC5A3D">
        <w:t>donijela Odluku o naknadi za razvoj javne vodoopskrbe br.</w:t>
      </w:r>
      <w:r w:rsidR="005A6950" w:rsidRPr="00AC5A3D">
        <w:t xml:space="preserve"> </w:t>
      </w:r>
      <w:r w:rsidRPr="00AC5A3D">
        <w:t xml:space="preserve">1742-S-22/2022 </w:t>
      </w:r>
      <w:r w:rsidR="00ED533B" w:rsidRPr="00AC5A3D">
        <w:t>(NN</w:t>
      </w:r>
      <w:r w:rsidRPr="00AC5A3D">
        <w:t xml:space="preserve"> br. 75/22</w:t>
      </w:r>
      <w:r w:rsidR="00ED533B" w:rsidRPr="00AC5A3D">
        <w:t>),</w:t>
      </w:r>
      <w:r w:rsidRPr="00AC5A3D">
        <w:t xml:space="preserve"> kojom se određuje obveza plaćanja naknade za razvoj javne vodoopskrbe </w:t>
      </w:r>
      <w:r w:rsidR="00962757" w:rsidRPr="00AC5A3D">
        <w:t xml:space="preserve">u visini od </w:t>
      </w:r>
      <w:r w:rsidR="00DB6E17" w:rsidRPr="00AC5A3D">
        <w:t>0,13272 euro/ m</w:t>
      </w:r>
      <w:r w:rsidR="00DB6E17" w:rsidRPr="00AC5A3D">
        <w:rPr>
          <w:vertAlign w:val="superscript"/>
        </w:rPr>
        <w:t>3</w:t>
      </w:r>
      <w:r w:rsidR="00DB6E17" w:rsidRPr="00AC5A3D">
        <w:t xml:space="preserve"> (1 kune/m</w:t>
      </w:r>
      <w:r w:rsidR="00DB6E17" w:rsidRPr="00AC5A3D">
        <w:rPr>
          <w:vertAlign w:val="superscript"/>
        </w:rPr>
        <w:t>3</w:t>
      </w:r>
      <w:r w:rsidR="00DB6E17" w:rsidRPr="00AC5A3D">
        <w:t xml:space="preserve">) </w:t>
      </w:r>
      <w:r w:rsidRPr="00AC5A3D">
        <w:t xml:space="preserve">na području </w:t>
      </w:r>
      <w:r w:rsidR="00B00921" w:rsidRPr="00AC5A3D">
        <w:t>vodoopskrbe</w:t>
      </w:r>
      <w:r w:rsidRPr="00AC5A3D">
        <w:t xml:space="preserve">, </w:t>
      </w:r>
      <w:r w:rsidR="00ED533B" w:rsidRPr="00AC5A3D">
        <w:t>i</w:t>
      </w:r>
      <w:r w:rsidRPr="00AC5A3D">
        <w:t xml:space="preserve"> kojom prestaju važiti Odluke o naknadi za ra</w:t>
      </w:r>
      <w:r w:rsidR="00962757" w:rsidRPr="00AC5A3D">
        <w:t>z</w:t>
      </w:r>
      <w:r w:rsidRPr="00AC5A3D">
        <w:t>voj javne vodoopskrbe</w:t>
      </w:r>
      <w:r w:rsidR="001074E8" w:rsidRPr="00AC5A3D">
        <w:t xml:space="preserve"> koje su donijele</w:t>
      </w:r>
      <w:r w:rsidRPr="00AC5A3D">
        <w:t xml:space="preserve"> </w:t>
      </w:r>
      <w:r w:rsidR="00962757" w:rsidRPr="00AC5A3D">
        <w:t>jedinic</w:t>
      </w:r>
      <w:r w:rsidR="001074E8" w:rsidRPr="00AC5A3D">
        <w:t>e</w:t>
      </w:r>
      <w:r w:rsidR="00962757" w:rsidRPr="00AC5A3D">
        <w:t xml:space="preserve"> lokalne samouprave</w:t>
      </w:r>
      <w:r w:rsidRPr="00AC5A3D">
        <w:t xml:space="preserve">. </w:t>
      </w:r>
    </w:p>
    <w:p w14:paraId="51E6FA36" w14:textId="77777777" w:rsidR="009A1213" w:rsidRDefault="009A1213" w:rsidP="00A02495"/>
    <w:p w14:paraId="3EEECD8D" w14:textId="77777777" w:rsidR="00D13CFD" w:rsidRDefault="00AC5A3D" w:rsidP="00A02495">
      <w:r>
        <w:t>Odlukom o izmjeni Odluke o naknadi za razvoj javne vodoopskrbe 13696-S-28/2023 (NN 157/23) regulirano je korištenje naknade za razvoj vodoopskrbe sukladno važećem Planu gradnje komunalnih vodnih građevina.</w:t>
      </w:r>
      <w:r w:rsidR="00112F59">
        <w:t xml:space="preserve"> </w:t>
      </w:r>
    </w:p>
    <w:p w14:paraId="29FA6D13" w14:textId="77777777" w:rsidR="00D13CFD" w:rsidRDefault="00D13CFD" w:rsidP="00A02495"/>
    <w:p w14:paraId="4052BBCE" w14:textId="7DFF191B" w:rsidR="00AC5A3D" w:rsidRPr="00112F59" w:rsidRDefault="00AC5A3D" w:rsidP="00A02495">
      <w:r>
        <w:t xml:space="preserve">U 2024. godini donijeta je nova Odluka o naknadi za razvoj sustava javne </w:t>
      </w:r>
      <w:r w:rsidR="00112F59">
        <w:t>vodoopskrbe</w:t>
      </w:r>
      <w:r>
        <w:t xml:space="preserve"> 7916-S-12/2024 (NN</w:t>
      </w:r>
      <w:r w:rsidR="00112F59">
        <w:t xml:space="preserve"> 74/2024), kojom se određuje obveza plaćanja naknade za razvoj javne vodoopskrbe u visini od 0,30 </w:t>
      </w:r>
      <w:r w:rsidR="00DC6109">
        <w:t>eura</w:t>
      </w:r>
      <w:r w:rsidR="00112F59">
        <w:t>/m</w:t>
      </w:r>
      <w:r w:rsidR="00112F59" w:rsidRPr="00112F59">
        <w:rPr>
          <w:vertAlign w:val="superscript"/>
        </w:rPr>
        <w:t>3</w:t>
      </w:r>
      <w:r w:rsidR="00112F59">
        <w:t>.</w:t>
      </w:r>
    </w:p>
    <w:p w14:paraId="6734EBDB" w14:textId="77777777" w:rsidR="00EA35CD" w:rsidRPr="009013E3" w:rsidRDefault="00EA35CD" w:rsidP="00A02495">
      <w:pPr>
        <w:rPr>
          <w:highlight w:val="magenta"/>
        </w:rPr>
      </w:pPr>
    </w:p>
    <w:p w14:paraId="74491735" w14:textId="750DD7BE" w:rsidR="002E147E" w:rsidRDefault="00BC4744" w:rsidP="00A02495">
      <w:r w:rsidRPr="007F2A71">
        <w:t>Naknada za razvoj sustava vodoopskrbe sastoji se od obračunatih i nenaplaćenih naknada u iznos</w:t>
      </w:r>
      <w:r w:rsidR="00E30BE9" w:rsidRPr="007F2A71">
        <w:t>u</w:t>
      </w:r>
      <w:r w:rsidRPr="007F2A71">
        <w:t xml:space="preserve"> </w:t>
      </w:r>
      <w:r w:rsidR="007F2A71" w:rsidRPr="007F2A71">
        <w:t>271.710</w:t>
      </w:r>
      <w:r w:rsidR="00DB6E17" w:rsidRPr="007F2A71">
        <w:t xml:space="preserve"> eura,</w:t>
      </w:r>
      <w:r w:rsidRPr="007F2A71">
        <w:t xml:space="preserve"> te naplaćenih i neutrošenih sredstava u iznosu </w:t>
      </w:r>
      <w:r w:rsidR="007F2A71" w:rsidRPr="007F2A71">
        <w:t>1.963.715</w:t>
      </w:r>
      <w:r w:rsidR="00DB6E17" w:rsidRPr="007F2A71">
        <w:t xml:space="preserve"> eura</w:t>
      </w:r>
      <w:r w:rsidRPr="007F2A71">
        <w:t xml:space="preserve">. </w:t>
      </w:r>
      <w:r w:rsidR="00FC65F9" w:rsidRPr="007F2A71">
        <w:t>Na dan 31.12.20</w:t>
      </w:r>
      <w:r w:rsidR="00EE4D1B" w:rsidRPr="007F2A71">
        <w:t>2</w:t>
      </w:r>
      <w:r w:rsidR="007F2A71" w:rsidRPr="007F2A71">
        <w:t>4</w:t>
      </w:r>
      <w:r w:rsidR="00FC65F9" w:rsidRPr="007F2A71">
        <w:t>.</w:t>
      </w:r>
      <w:r w:rsidR="0056328F" w:rsidRPr="007F2A71">
        <w:t xml:space="preserve"> </w:t>
      </w:r>
      <w:r w:rsidR="00FC65F9" w:rsidRPr="007F2A71">
        <w:t>godine o</w:t>
      </w:r>
      <w:r w:rsidR="00E067EC" w:rsidRPr="007F2A71">
        <w:t xml:space="preserve">bveze za </w:t>
      </w:r>
      <w:r w:rsidR="00B77846" w:rsidRPr="007F2A71">
        <w:t xml:space="preserve">naplaćenu i </w:t>
      </w:r>
      <w:r w:rsidR="009A1137" w:rsidRPr="007F2A71">
        <w:t xml:space="preserve">neiskorištenu </w:t>
      </w:r>
      <w:r w:rsidR="00E067EC" w:rsidRPr="007F2A71">
        <w:t xml:space="preserve">naknadu za razvoj </w:t>
      </w:r>
      <w:r w:rsidR="00512468" w:rsidRPr="007F2A71">
        <w:t xml:space="preserve">javne vodoopskrbe </w:t>
      </w:r>
      <w:r w:rsidR="00E067EC" w:rsidRPr="007F2A71">
        <w:t>po gradovima i općinama</w:t>
      </w:r>
      <w:r w:rsidR="00FC65F9" w:rsidRPr="007F2A71">
        <w:t xml:space="preserve"> </w:t>
      </w:r>
      <w:r w:rsidR="009A1137" w:rsidRPr="007F2A71">
        <w:t>iznose</w:t>
      </w:r>
      <w:r w:rsidR="00E067EC" w:rsidRPr="007F2A71">
        <w:t>:</w:t>
      </w:r>
    </w:p>
    <w:p w14:paraId="330C469D" w14:textId="77777777" w:rsidR="00ED533B" w:rsidRDefault="00ED533B" w:rsidP="00A02495"/>
    <w:tbl>
      <w:tblPr>
        <w:tblW w:w="5000" w:type="pct"/>
        <w:tblBorders>
          <w:top w:val="single" w:sz="4" w:space="0" w:color="BFBFBF" w:themeColor="background1" w:themeShade="BF"/>
          <w:bottom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2974"/>
        <w:gridCol w:w="1872"/>
        <w:gridCol w:w="372"/>
        <w:gridCol w:w="1994"/>
        <w:gridCol w:w="1860"/>
      </w:tblGrid>
      <w:tr w:rsidR="00DB6E17" w:rsidRPr="00112F25" w14:paraId="6302469A" w14:textId="77777777" w:rsidTr="006A729E">
        <w:trPr>
          <w:trHeight w:val="525"/>
        </w:trPr>
        <w:tc>
          <w:tcPr>
            <w:tcW w:w="1639" w:type="pct"/>
            <w:tcBorders>
              <w:top w:val="single" w:sz="8" w:space="0" w:color="404040" w:themeColor="text1" w:themeTint="BF"/>
              <w:bottom w:val="single" w:sz="8" w:space="0" w:color="404040" w:themeColor="text1" w:themeTint="BF"/>
            </w:tcBorders>
            <w:shd w:val="clear" w:color="auto" w:fill="BFBFBF" w:themeFill="background1" w:themeFillShade="BF"/>
            <w:noWrap/>
            <w:vAlign w:val="center"/>
            <w:hideMark/>
          </w:tcPr>
          <w:p w14:paraId="78FDC056" w14:textId="77777777" w:rsidR="00DB6E17" w:rsidRPr="00112F25" w:rsidRDefault="00D54297" w:rsidP="00A02495">
            <w:pPr>
              <w:rPr>
                <w:b/>
                <w:bCs/>
                <w:sz w:val="18"/>
                <w:szCs w:val="18"/>
                <w:lang w:eastAsia="hr-HR"/>
              </w:rPr>
            </w:pPr>
            <w:r w:rsidRPr="00112F25">
              <w:rPr>
                <w:b/>
                <w:bCs/>
                <w:sz w:val="18"/>
                <w:szCs w:val="18"/>
                <w:lang w:eastAsia="hr-HR"/>
              </w:rPr>
              <w:t>Gradovi/Općine</w:t>
            </w:r>
          </w:p>
        </w:tc>
        <w:tc>
          <w:tcPr>
            <w:tcW w:w="1032" w:type="pct"/>
            <w:tcBorders>
              <w:top w:val="single" w:sz="8" w:space="0" w:color="404040" w:themeColor="text1" w:themeTint="BF"/>
              <w:bottom w:val="single" w:sz="8" w:space="0" w:color="404040" w:themeColor="text1" w:themeTint="BF"/>
            </w:tcBorders>
            <w:shd w:val="clear" w:color="auto" w:fill="BFBFBF" w:themeFill="background1" w:themeFillShade="BF"/>
            <w:vAlign w:val="center"/>
            <w:hideMark/>
          </w:tcPr>
          <w:p w14:paraId="39C89223" w14:textId="572B463D" w:rsidR="00DB6E17" w:rsidRPr="00112F25" w:rsidRDefault="00DB6E17" w:rsidP="00513B34">
            <w:pPr>
              <w:jc w:val="center"/>
              <w:rPr>
                <w:b/>
                <w:bCs/>
                <w:sz w:val="18"/>
                <w:szCs w:val="18"/>
                <w:lang w:eastAsia="hr-HR"/>
              </w:rPr>
            </w:pPr>
            <w:r w:rsidRPr="00112F25">
              <w:rPr>
                <w:b/>
                <w:bCs/>
                <w:sz w:val="18"/>
                <w:szCs w:val="18"/>
                <w:lang w:eastAsia="hr-HR"/>
              </w:rPr>
              <w:t>Obračunato, nenaplaćeno</w:t>
            </w:r>
          </w:p>
        </w:tc>
        <w:tc>
          <w:tcPr>
            <w:tcW w:w="205" w:type="pct"/>
            <w:tcBorders>
              <w:top w:val="single" w:sz="8" w:space="0" w:color="404040" w:themeColor="text1" w:themeTint="BF"/>
              <w:bottom w:val="single" w:sz="8" w:space="0" w:color="404040" w:themeColor="text1" w:themeTint="BF"/>
            </w:tcBorders>
            <w:shd w:val="clear" w:color="auto" w:fill="BFBFBF" w:themeFill="background1" w:themeFillShade="BF"/>
            <w:noWrap/>
            <w:vAlign w:val="center"/>
            <w:hideMark/>
          </w:tcPr>
          <w:p w14:paraId="5E9B1BF5" w14:textId="77777777" w:rsidR="00DB6E17" w:rsidRPr="00112F25" w:rsidRDefault="00DB6E17" w:rsidP="00513B34">
            <w:pPr>
              <w:jc w:val="center"/>
              <w:rPr>
                <w:b/>
                <w:bCs/>
                <w:sz w:val="18"/>
                <w:szCs w:val="18"/>
                <w:lang w:eastAsia="hr-HR"/>
              </w:rPr>
            </w:pPr>
          </w:p>
        </w:tc>
        <w:tc>
          <w:tcPr>
            <w:tcW w:w="1099" w:type="pct"/>
            <w:tcBorders>
              <w:top w:val="single" w:sz="8" w:space="0" w:color="404040" w:themeColor="text1" w:themeTint="BF"/>
              <w:bottom w:val="single" w:sz="8" w:space="0" w:color="404040" w:themeColor="text1" w:themeTint="BF"/>
            </w:tcBorders>
            <w:shd w:val="clear" w:color="auto" w:fill="BFBFBF" w:themeFill="background1" w:themeFillShade="BF"/>
            <w:vAlign w:val="center"/>
            <w:hideMark/>
          </w:tcPr>
          <w:p w14:paraId="7F8C7EA3" w14:textId="6014D0EF" w:rsidR="00DB6E17" w:rsidRPr="00112F25" w:rsidRDefault="00DB6E17" w:rsidP="00513B34">
            <w:pPr>
              <w:jc w:val="center"/>
              <w:rPr>
                <w:b/>
                <w:bCs/>
                <w:sz w:val="18"/>
                <w:szCs w:val="18"/>
                <w:lang w:eastAsia="hr-HR"/>
              </w:rPr>
            </w:pPr>
            <w:r w:rsidRPr="00112F25">
              <w:rPr>
                <w:b/>
                <w:bCs/>
                <w:sz w:val="18"/>
                <w:szCs w:val="18"/>
                <w:lang w:eastAsia="hr-HR"/>
              </w:rPr>
              <w:t>Naplaćeno, neiskorišteno</w:t>
            </w:r>
          </w:p>
        </w:tc>
        <w:tc>
          <w:tcPr>
            <w:tcW w:w="1025" w:type="pct"/>
            <w:tcBorders>
              <w:top w:val="single" w:sz="8" w:space="0" w:color="404040" w:themeColor="text1" w:themeTint="BF"/>
              <w:bottom w:val="single" w:sz="8" w:space="0" w:color="404040" w:themeColor="text1" w:themeTint="BF"/>
            </w:tcBorders>
            <w:shd w:val="clear" w:color="auto" w:fill="BFBFBF" w:themeFill="background1" w:themeFillShade="BF"/>
            <w:noWrap/>
            <w:vAlign w:val="center"/>
            <w:hideMark/>
          </w:tcPr>
          <w:p w14:paraId="3BF68FA4" w14:textId="77777777" w:rsidR="00DB6E17" w:rsidRPr="00112F25" w:rsidRDefault="00DB6E17" w:rsidP="00513B34">
            <w:pPr>
              <w:jc w:val="center"/>
              <w:rPr>
                <w:b/>
                <w:bCs/>
                <w:sz w:val="18"/>
                <w:szCs w:val="18"/>
                <w:lang w:eastAsia="hr-HR"/>
              </w:rPr>
            </w:pPr>
            <w:r w:rsidRPr="00112F25">
              <w:rPr>
                <w:b/>
                <w:bCs/>
                <w:sz w:val="18"/>
                <w:szCs w:val="18"/>
                <w:lang w:eastAsia="hr-HR"/>
              </w:rPr>
              <w:t>Ukupno</w:t>
            </w:r>
          </w:p>
          <w:p w14:paraId="4BE31DFD" w14:textId="11CFC66C" w:rsidR="00513B34" w:rsidRPr="00112F25" w:rsidRDefault="00513B34" w:rsidP="00513B34">
            <w:pPr>
              <w:jc w:val="center"/>
              <w:rPr>
                <w:b/>
                <w:bCs/>
                <w:sz w:val="18"/>
                <w:szCs w:val="18"/>
                <w:lang w:eastAsia="hr-HR"/>
              </w:rPr>
            </w:pPr>
            <w:r w:rsidRPr="00112F25">
              <w:rPr>
                <w:b/>
                <w:bCs/>
                <w:sz w:val="18"/>
                <w:szCs w:val="18"/>
                <w:lang w:eastAsia="hr-HR"/>
              </w:rPr>
              <w:t>(u eurima)</w:t>
            </w:r>
          </w:p>
        </w:tc>
      </w:tr>
      <w:tr w:rsidR="00DB6E17" w:rsidRPr="00112F25" w14:paraId="050FCE1E" w14:textId="77777777" w:rsidTr="005347D5">
        <w:trPr>
          <w:trHeight w:val="300"/>
        </w:trPr>
        <w:tc>
          <w:tcPr>
            <w:tcW w:w="1639" w:type="pct"/>
            <w:tcBorders>
              <w:top w:val="single" w:sz="8" w:space="0" w:color="404040" w:themeColor="text1" w:themeTint="BF"/>
            </w:tcBorders>
            <w:shd w:val="clear" w:color="auto" w:fill="auto"/>
            <w:noWrap/>
            <w:vAlign w:val="bottom"/>
            <w:hideMark/>
          </w:tcPr>
          <w:p w14:paraId="695B7E06" w14:textId="77777777" w:rsidR="00DB6E17" w:rsidRPr="00112F25" w:rsidRDefault="00DB6E17" w:rsidP="00A02495">
            <w:pPr>
              <w:rPr>
                <w:sz w:val="18"/>
                <w:szCs w:val="18"/>
                <w:lang w:eastAsia="hr-HR"/>
              </w:rPr>
            </w:pPr>
            <w:r w:rsidRPr="00112F25">
              <w:rPr>
                <w:sz w:val="18"/>
                <w:szCs w:val="18"/>
                <w:lang w:eastAsia="hr-HR"/>
              </w:rPr>
              <w:t>Grad Pula</w:t>
            </w:r>
          </w:p>
        </w:tc>
        <w:tc>
          <w:tcPr>
            <w:tcW w:w="1032" w:type="pct"/>
            <w:tcBorders>
              <w:top w:val="single" w:sz="8" w:space="0" w:color="404040" w:themeColor="text1" w:themeTint="BF"/>
            </w:tcBorders>
            <w:shd w:val="clear" w:color="auto" w:fill="auto"/>
            <w:noWrap/>
            <w:vAlign w:val="center"/>
          </w:tcPr>
          <w:p w14:paraId="75FEA496" w14:textId="18FD2564" w:rsidR="00DB6E17" w:rsidRPr="00112F25" w:rsidRDefault="00112F59" w:rsidP="005D4C4F">
            <w:pPr>
              <w:jc w:val="right"/>
              <w:rPr>
                <w:sz w:val="18"/>
                <w:szCs w:val="18"/>
                <w:lang w:eastAsia="hr-HR"/>
              </w:rPr>
            </w:pPr>
            <w:r w:rsidRPr="00112F25">
              <w:rPr>
                <w:sz w:val="18"/>
                <w:szCs w:val="18"/>
                <w:lang w:eastAsia="hr-HR"/>
              </w:rPr>
              <w:t>153.314</w:t>
            </w:r>
          </w:p>
        </w:tc>
        <w:tc>
          <w:tcPr>
            <w:tcW w:w="205" w:type="pct"/>
            <w:tcBorders>
              <w:top w:val="single" w:sz="8" w:space="0" w:color="404040" w:themeColor="text1" w:themeTint="BF"/>
            </w:tcBorders>
            <w:shd w:val="clear" w:color="auto" w:fill="auto"/>
            <w:noWrap/>
            <w:vAlign w:val="center"/>
          </w:tcPr>
          <w:p w14:paraId="44FD0AB9" w14:textId="77777777" w:rsidR="00DB6E17" w:rsidRPr="00112F25" w:rsidRDefault="00DB6E17" w:rsidP="005D4C4F">
            <w:pPr>
              <w:jc w:val="right"/>
              <w:rPr>
                <w:sz w:val="18"/>
                <w:szCs w:val="18"/>
                <w:lang w:eastAsia="hr-HR"/>
              </w:rPr>
            </w:pPr>
          </w:p>
        </w:tc>
        <w:tc>
          <w:tcPr>
            <w:tcW w:w="1099" w:type="pct"/>
            <w:tcBorders>
              <w:top w:val="single" w:sz="8" w:space="0" w:color="404040" w:themeColor="text1" w:themeTint="BF"/>
            </w:tcBorders>
            <w:shd w:val="clear" w:color="auto" w:fill="auto"/>
            <w:noWrap/>
            <w:vAlign w:val="center"/>
          </w:tcPr>
          <w:p w14:paraId="3A913B57" w14:textId="1C3D01E0" w:rsidR="00DB6E17" w:rsidRPr="00112F25" w:rsidRDefault="00112F59" w:rsidP="005D4C4F">
            <w:pPr>
              <w:jc w:val="right"/>
              <w:rPr>
                <w:sz w:val="18"/>
                <w:szCs w:val="18"/>
                <w:lang w:eastAsia="hr-HR"/>
              </w:rPr>
            </w:pPr>
            <w:r w:rsidRPr="00112F25">
              <w:rPr>
                <w:sz w:val="18"/>
                <w:szCs w:val="18"/>
                <w:lang w:eastAsia="hr-HR"/>
              </w:rPr>
              <w:t>1.083.406</w:t>
            </w:r>
          </w:p>
        </w:tc>
        <w:tc>
          <w:tcPr>
            <w:tcW w:w="1025" w:type="pct"/>
            <w:tcBorders>
              <w:top w:val="single" w:sz="8" w:space="0" w:color="404040" w:themeColor="text1" w:themeTint="BF"/>
            </w:tcBorders>
            <w:shd w:val="clear" w:color="auto" w:fill="auto"/>
            <w:noWrap/>
            <w:vAlign w:val="center"/>
          </w:tcPr>
          <w:p w14:paraId="709E542A" w14:textId="1E1ACD79" w:rsidR="00DB6E17" w:rsidRPr="00112F25" w:rsidRDefault="00112F59" w:rsidP="005D4C4F">
            <w:pPr>
              <w:jc w:val="right"/>
              <w:rPr>
                <w:sz w:val="18"/>
                <w:szCs w:val="18"/>
                <w:lang w:eastAsia="hr-HR"/>
              </w:rPr>
            </w:pPr>
            <w:r w:rsidRPr="00112F25">
              <w:rPr>
                <w:sz w:val="18"/>
                <w:szCs w:val="18"/>
                <w:lang w:eastAsia="hr-HR"/>
              </w:rPr>
              <w:t>1.236.720</w:t>
            </w:r>
          </w:p>
        </w:tc>
      </w:tr>
      <w:tr w:rsidR="00DB6E17" w:rsidRPr="00112F25" w14:paraId="742D01E5" w14:textId="77777777" w:rsidTr="005347D5">
        <w:trPr>
          <w:trHeight w:val="300"/>
        </w:trPr>
        <w:tc>
          <w:tcPr>
            <w:tcW w:w="1639" w:type="pct"/>
            <w:shd w:val="clear" w:color="auto" w:fill="auto"/>
            <w:noWrap/>
            <w:vAlign w:val="bottom"/>
            <w:hideMark/>
          </w:tcPr>
          <w:p w14:paraId="4A62F5F1" w14:textId="77777777" w:rsidR="00DB6E17" w:rsidRPr="00112F25" w:rsidRDefault="00DB6E17" w:rsidP="00A02495">
            <w:pPr>
              <w:rPr>
                <w:sz w:val="18"/>
                <w:szCs w:val="18"/>
                <w:lang w:eastAsia="hr-HR"/>
              </w:rPr>
            </w:pPr>
            <w:r w:rsidRPr="00112F25">
              <w:rPr>
                <w:sz w:val="18"/>
                <w:szCs w:val="18"/>
                <w:lang w:eastAsia="hr-HR"/>
              </w:rPr>
              <w:t>Općina Barban</w:t>
            </w:r>
          </w:p>
        </w:tc>
        <w:tc>
          <w:tcPr>
            <w:tcW w:w="1032" w:type="pct"/>
            <w:shd w:val="clear" w:color="auto" w:fill="auto"/>
            <w:noWrap/>
            <w:vAlign w:val="center"/>
          </w:tcPr>
          <w:p w14:paraId="5181FC5C" w14:textId="4902C189" w:rsidR="00DB6E17" w:rsidRPr="00112F25" w:rsidRDefault="00112F59" w:rsidP="005D4C4F">
            <w:pPr>
              <w:jc w:val="right"/>
              <w:rPr>
                <w:sz w:val="18"/>
                <w:szCs w:val="18"/>
                <w:lang w:eastAsia="hr-HR"/>
              </w:rPr>
            </w:pPr>
            <w:r w:rsidRPr="00112F25">
              <w:rPr>
                <w:sz w:val="18"/>
                <w:szCs w:val="18"/>
                <w:lang w:eastAsia="hr-HR"/>
              </w:rPr>
              <w:t>6.880</w:t>
            </w:r>
          </w:p>
        </w:tc>
        <w:tc>
          <w:tcPr>
            <w:tcW w:w="205" w:type="pct"/>
            <w:shd w:val="clear" w:color="auto" w:fill="auto"/>
            <w:noWrap/>
            <w:vAlign w:val="center"/>
          </w:tcPr>
          <w:p w14:paraId="02BB3F26" w14:textId="77777777" w:rsidR="00DB6E17" w:rsidRPr="00112F25" w:rsidRDefault="00DB6E17" w:rsidP="005D4C4F">
            <w:pPr>
              <w:jc w:val="right"/>
              <w:rPr>
                <w:sz w:val="18"/>
                <w:szCs w:val="18"/>
                <w:lang w:eastAsia="hr-HR"/>
              </w:rPr>
            </w:pPr>
          </w:p>
        </w:tc>
        <w:tc>
          <w:tcPr>
            <w:tcW w:w="1099" w:type="pct"/>
            <w:shd w:val="clear" w:color="auto" w:fill="auto"/>
            <w:noWrap/>
            <w:vAlign w:val="center"/>
          </w:tcPr>
          <w:p w14:paraId="64725398" w14:textId="484E0FEC" w:rsidR="00DB6E17" w:rsidRPr="00112F25" w:rsidRDefault="00112F59" w:rsidP="005D4C4F">
            <w:pPr>
              <w:jc w:val="right"/>
              <w:rPr>
                <w:sz w:val="18"/>
                <w:szCs w:val="18"/>
                <w:lang w:eastAsia="hr-HR"/>
              </w:rPr>
            </w:pPr>
            <w:r w:rsidRPr="00112F25">
              <w:rPr>
                <w:sz w:val="18"/>
                <w:szCs w:val="18"/>
                <w:lang w:eastAsia="hr-HR"/>
              </w:rPr>
              <w:t>86.511</w:t>
            </w:r>
          </w:p>
        </w:tc>
        <w:tc>
          <w:tcPr>
            <w:tcW w:w="1025" w:type="pct"/>
            <w:shd w:val="clear" w:color="auto" w:fill="auto"/>
            <w:noWrap/>
            <w:vAlign w:val="center"/>
          </w:tcPr>
          <w:p w14:paraId="10FDD04E" w14:textId="16294344" w:rsidR="00DB6E17" w:rsidRPr="00112F25" w:rsidRDefault="00112F59" w:rsidP="005D4C4F">
            <w:pPr>
              <w:jc w:val="right"/>
              <w:rPr>
                <w:sz w:val="18"/>
                <w:szCs w:val="18"/>
                <w:lang w:eastAsia="hr-HR"/>
              </w:rPr>
            </w:pPr>
            <w:r w:rsidRPr="00112F25">
              <w:rPr>
                <w:sz w:val="18"/>
                <w:szCs w:val="18"/>
                <w:lang w:eastAsia="hr-HR"/>
              </w:rPr>
              <w:t>93.391</w:t>
            </w:r>
          </w:p>
        </w:tc>
      </w:tr>
      <w:tr w:rsidR="00DB6E17" w:rsidRPr="00112F25" w14:paraId="692AF389" w14:textId="77777777" w:rsidTr="005347D5">
        <w:trPr>
          <w:trHeight w:val="300"/>
        </w:trPr>
        <w:tc>
          <w:tcPr>
            <w:tcW w:w="1639" w:type="pct"/>
            <w:shd w:val="clear" w:color="auto" w:fill="auto"/>
            <w:noWrap/>
            <w:vAlign w:val="bottom"/>
            <w:hideMark/>
          </w:tcPr>
          <w:p w14:paraId="7DAEABEB" w14:textId="77777777" w:rsidR="00DB6E17" w:rsidRPr="00112F25" w:rsidRDefault="00DB6E17" w:rsidP="00A02495">
            <w:pPr>
              <w:rPr>
                <w:sz w:val="18"/>
                <w:szCs w:val="18"/>
                <w:lang w:eastAsia="hr-HR"/>
              </w:rPr>
            </w:pPr>
            <w:r w:rsidRPr="00112F25">
              <w:rPr>
                <w:sz w:val="18"/>
                <w:szCs w:val="18"/>
                <w:lang w:eastAsia="hr-HR"/>
              </w:rPr>
              <w:t>Općina Marčana</w:t>
            </w:r>
          </w:p>
        </w:tc>
        <w:tc>
          <w:tcPr>
            <w:tcW w:w="1032" w:type="pct"/>
            <w:shd w:val="clear" w:color="auto" w:fill="auto"/>
            <w:noWrap/>
            <w:vAlign w:val="center"/>
          </w:tcPr>
          <w:p w14:paraId="31064EC8" w14:textId="1E345FDA" w:rsidR="00DB6E17" w:rsidRPr="00112F25" w:rsidRDefault="00112F59" w:rsidP="005D4C4F">
            <w:pPr>
              <w:jc w:val="right"/>
              <w:rPr>
                <w:sz w:val="18"/>
                <w:szCs w:val="18"/>
                <w:lang w:eastAsia="hr-HR"/>
              </w:rPr>
            </w:pPr>
            <w:r w:rsidRPr="00112F25">
              <w:rPr>
                <w:sz w:val="18"/>
                <w:szCs w:val="18"/>
                <w:lang w:eastAsia="hr-HR"/>
              </w:rPr>
              <w:t>16.077</w:t>
            </w:r>
          </w:p>
        </w:tc>
        <w:tc>
          <w:tcPr>
            <w:tcW w:w="205" w:type="pct"/>
            <w:shd w:val="clear" w:color="auto" w:fill="auto"/>
            <w:noWrap/>
            <w:vAlign w:val="center"/>
          </w:tcPr>
          <w:p w14:paraId="5A092499" w14:textId="77777777" w:rsidR="00DB6E17" w:rsidRPr="00112F25" w:rsidRDefault="00DB6E17" w:rsidP="005D4C4F">
            <w:pPr>
              <w:jc w:val="right"/>
              <w:rPr>
                <w:sz w:val="18"/>
                <w:szCs w:val="18"/>
                <w:lang w:eastAsia="hr-HR"/>
              </w:rPr>
            </w:pPr>
          </w:p>
        </w:tc>
        <w:tc>
          <w:tcPr>
            <w:tcW w:w="1099" w:type="pct"/>
            <w:shd w:val="clear" w:color="auto" w:fill="auto"/>
            <w:noWrap/>
            <w:vAlign w:val="center"/>
          </w:tcPr>
          <w:p w14:paraId="2BCDE889" w14:textId="203ECE1F" w:rsidR="00DB6E17" w:rsidRPr="00112F25" w:rsidRDefault="00112F59" w:rsidP="005D4C4F">
            <w:pPr>
              <w:jc w:val="right"/>
              <w:rPr>
                <w:sz w:val="18"/>
                <w:szCs w:val="18"/>
                <w:lang w:eastAsia="hr-HR"/>
              </w:rPr>
            </w:pPr>
            <w:r w:rsidRPr="00112F25">
              <w:rPr>
                <w:sz w:val="18"/>
                <w:szCs w:val="18"/>
                <w:lang w:eastAsia="hr-HR"/>
              </w:rPr>
              <w:t>136.220</w:t>
            </w:r>
          </w:p>
        </w:tc>
        <w:tc>
          <w:tcPr>
            <w:tcW w:w="1025" w:type="pct"/>
            <w:shd w:val="clear" w:color="auto" w:fill="auto"/>
            <w:noWrap/>
            <w:vAlign w:val="center"/>
          </w:tcPr>
          <w:p w14:paraId="155E9947" w14:textId="5C48224B" w:rsidR="00DB6E17" w:rsidRPr="00112F25" w:rsidRDefault="00112F59" w:rsidP="005D4C4F">
            <w:pPr>
              <w:jc w:val="right"/>
              <w:rPr>
                <w:sz w:val="18"/>
                <w:szCs w:val="18"/>
                <w:lang w:eastAsia="hr-HR"/>
              </w:rPr>
            </w:pPr>
            <w:r w:rsidRPr="00112F25">
              <w:rPr>
                <w:sz w:val="18"/>
                <w:szCs w:val="18"/>
                <w:lang w:eastAsia="hr-HR"/>
              </w:rPr>
              <w:t>152.297</w:t>
            </w:r>
          </w:p>
        </w:tc>
      </w:tr>
      <w:tr w:rsidR="00DB6E17" w:rsidRPr="00112F25" w14:paraId="33247244" w14:textId="77777777" w:rsidTr="005347D5">
        <w:trPr>
          <w:trHeight w:val="300"/>
        </w:trPr>
        <w:tc>
          <w:tcPr>
            <w:tcW w:w="1639" w:type="pct"/>
            <w:shd w:val="clear" w:color="auto" w:fill="auto"/>
            <w:noWrap/>
            <w:vAlign w:val="bottom"/>
            <w:hideMark/>
          </w:tcPr>
          <w:p w14:paraId="2FCDB832" w14:textId="77777777" w:rsidR="00DB6E17" w:rsidRPr="00112F25" w:rsidRDefault="00DB6E17" w:rsidP="00A02495">
            <w:pPr>
              <w:rPr>
                <w:sz w:val="18"/>
                <w:szCs w:val="18"/>
                <w:lang w:eastAsia="hr-HR"/>
              </w:rPr>
            </w:pPr>
            <w:r w:rsidRPr="00112F25">
              <w:rPr>
                <w:sz w:val="18"/>
                <w:szCs w:val="18"/>
                <w:lang w:eastAsia="hr-HR"/>
              </w:rPr>
              <w:t>Općina Ližnjan</w:t>
            </w:r>
          </w:p>
        </w:tc>
        <w:tc>
          <w:tcPr>
            <w:tcW w:w="1032" w:type="pct"/>
            <w:shd w:val="clear" w:color="auto" w:fill="auto"/>
            <w:noWrap/>
            <w:vAlign w:val="center"/>
          </w:tcPr>
          <w:p w14:paraId="02201F73" w14:textId="426C5181" w:rsidR="00DB6E17" w:rsidRPr="00112F25" w:rsidRDefault="00112F59" w:rsidP="005D4C4F">
            <w:pPr>
              <w:jc w:val="right"/>
              <w:rPr>
                <w:sz w:val="18"/>
                <w:szCs w:val="18"/>
                <w:lang w:eastAsia="hr-HR"/>
              </w:rPr>
            </w:pPr>
            <w:r w:rsidRPr="00112F25">
              <w:rPr>
                <w:sz w:val="18"/>
                <w:szCs w:val="18"/>
                <w:lang w:eastAsia="hr-HR"/>
              </w:rPr>
              <w:t>13.422</w:t>
            </w:r>
          </w:p>
        </w:tc>
        <w:tc>
          <w:tcPr>
            <w:tcW w:w="205" w:type="pct"/>
            <w:shd w:val="clear" w:color="auto" w:fill="auto"/>
            <w:noWrap/>
            <w:vAlign w:val="center"/>
          </w:tcPr>
          <w:p w14:paraId="2563249E" w14:textId="77777777" w:rsidR="00DB6E17" w:rsidRPr="00112F25" w:rsidRDefault="00DB6E17" w:rsidP="005D4C4F">
            <w:pPr>
              <w:jc w:val="right"/>
              <w:rPr>
                <w:sz w:val="18"/>
                <w:szCs w:val="18"/>
                <w:lang w:eastAsia="hr-HR"/>
              </w:rPr>
            </w:pPr>
          </w:p>
        </w:tc>
        <w:tc>
          <w:tcPr>
            <w:tcW w:w="1099" w:type="pct"/>
            <w:shd w:val="clear" w:color="auto" w:fill="auto"/>
            <w:noWrap/>
            <w:vAlign w:val="center"/>
          </w:tcPr>
          <w:p w14:paraId="678090D3" w14:textId="0C9D5C20" w:rsidR="00DB6E17" w:rsidRPr="00112F25" w:rsidRDefault="00112F59" w:rsidP="005D4C4F">
            <w:pPr>
              <w:jc w:val="right"/>
              <w:rPr>
                <w:sz w:val="18"/>
                <w:szCs w:val="18"/>
                <w:lang w:eastAsia="hr-HR"/>
              </w:rPr>
            </w:pPr>
            <w:r w:rsidRPr="00112F25">
              <w:rPr>
                <w:sz w:val="18"/>
                <w:szCs w:val="18"/>
                <w:lang w:eastAsia="hr-HR"/>
              </w:rPr>
              <w:t>172.690</w:t>
            </w:r>
          </w:p>
        </w:tc>
        <w:tc>
          <w:tcPr>
            <w:tcW w:w="1025" w:type="pct"/>
            <w:shd w:val="clear" w:color="auto" w:fill="auto"/>
            <w:noWrap/>
            <w:vAlign w:val="center"/>
          </w:tcPr>
          <w:p w14:paraId="4A40CDD0" w14:textId="1F94CDF1" w:rsidR="00DB6E17" w:rsidRPr="00112F25" w:rsidRDefault="00112F59" w:rsidP="005D4C4F">
            <w:pPr>
              <w:jc w:val="right"/>
              <w:rPr>
                <w:sz w:val="18"/>
                <w:szCs w:val="18"/>
                <w:lang w:eastAsia="hr-HR"/>
              </w:rPr>
            </w:pPr>
            <w:r w:rsidRPr="00112F25">
              <w:rPr>
                <w:sz w:val="18"/>
                <w:szCs w:val="18"/>
                <w:lang w:eastAsia="hr-HR"/>
              </w:rPr>
              <w:t>186.112</w:t>
            </w:r>
          </w:p>
        </w:tc>
      </w:tr>
      <w:tr w:rsidR="00DB6E17" w:rsidRPr="00112F25" w14:paraId="0A054B11" w14:textId="77777777" w:rsidTr="005347D5">
        <w:trPr>
          <w:trHeight w:val="300"/>
        </w:trPr>
        <w:tc>
          <w:tcPr>
            <w:tcW w:w="1639" w:type="pct"/>
            <w:shd w:val="clear" w:color="auto" w:fill="auto"/>
            <w:noWrap/>
            <w:vAlign w:val="bottom"/>
            <w:hideMark/>
          </w:tcPr>
          <w:p w14:paraId="18405C0B" w14:textId="77777777" w:rsidR="00DB6E17" w:rsidRPr="00112F25" w:rsidRDefault="00DB6E17" w:rsidP="00A02495">
            <w:pPr>
              <w:rPr>
                <w:sz w:val="18"/>
                <w:szCs w:val="18"/>
                <w:lang w:eastAsia="hr-HR"/>
              </w:rPr>
            </w:pPr>
            <w:r w:rsidRPr="00112F25">
              <w:rPr>
                <w:sz w:val="18"/>
                <w:szCs w:val="18"/>
                <w:lang w:eastAsia="hr-HR"/>
              </w:rPr>
              <w:t>Općina Svetvinčenat</w:t>
            </w:r>
          </w:p>
        </w:tc>
        <w:tc>
          <w:tcPr>
            <w:tcW w:w="1032" w:type="pct"/>
            <w:shd w:val="clear" w:color="auto" w:fill="auto"/>
            <w:noWrap/>
            <w:vAlign w:val="center"/>
          </w:tcPr>
          <w:p w14:paraId="7817D474" w14:textId="32DC27A9" w:rsidR="00DB6E17" w:rsidRPr="00112F25" w:rsidRDefault="00112F59" w:rsidP="005D4C4F">
            <w:pPr>
              <w:jc w:val="right"/>
              <w:rPr>
                <w:sz w:val="18"/>
                <w:szCs w:val="18"/>
                <w:lang w:eastAsia="hr-HR"/>
              </w:rPr>
            </w:pPr>
            <w:r w:rsidRPr="00112F25">
              <w:rPr>
                <w:sz w:val="18"/>
                <w:szCs w:val="18"/>
                <w:lang w:eastAsia="hr-HR"/>
              </w:rPr>
              <w:t>8.866</w:t>
            </w:r>
          </w:p>
        </w:tc>
        <w:tc>
          <w:tcPr>
            <w:tcW w:w="205" w:type="pct"/>
            <w:shd w:val="clear" w:color="auto" w:fill="auto"/>
            <w:noWrap/>
            <w:vAlign w:val="center"/>
          </w:tcPr>
          <w:p w14:paraId="453E6AC4" w14:textId="77777777" w:rsidR="00DB6E17" w:rsidRPr="00112F25" w:rsidRDefault="00DB6E17" w:rsidP="005D4C4F">
            <w:pPr>
              <w:jc w:val="right"/>
              <w:rPr>
                <w:sz w:val="18"/>
                <w:szCs w:val="18"/>
                <w:lang w:eastAsia="hr-HR"/>
              </w:rPr>
            </w:pPr>
          </w:p>
        </w:tc>
        <w:tc>
          <w:tcPr>
            <w:tcW w:w="1099" w:type="pct"/>
            <w:shd w:val="clear" w:color="auto" w:fill="auto"/>
            <w:noWrap/>
            <w:vAlign w:val="center"/>
          </w:tcPr>
          <w:p w14:paraId="0692A82A" w14:textId="567E952E" w:rsidR="00DB6E17" w:rsidRPr="00112F25" w:rsidRDefault="00DB6E17" w:rsidP="005D4C4F">
            <w:pPr>
              <w:jc w:val="right"/>
              <w:rPr>
                <w:sz w:val="18"/>
                <w:szCs w:val="18"/>
                <w:lang w:eastAsia="hr-HR"/>
              </w:rPr>
            </w:pPr>
            <w:r w:rsidRPr="00112F25">
              <w:rPr>
                <w:sz w:val="18"/>
                <w:szCs w:val="18"/>
                <w:lang w:eastAsia="hr-HR"/>
              </w:rPr>
              <w:t>(</w:t>
            </w:r>
            <w:r w:rsidR="00112F59" w:rsidRPr="00112F25">
              <w:rPr>
                <w:sz w:val="18"/>
                <w:szCs w:val="18"/>
                <w:lang w:eastAsia="hr-HR"/>
              </w:rPr>
              <w:t>58.596</w:t>
            </w:r>
            <w:r w:rsidRPr="00112F25">
              <w:rPr>
                <w:sz w:val="18"/>
                <w:szCs w:val="18"/>
                <w:lang w:eastAsia="hr-HR"/>
              </w:rPr>
              <w:t>)</w:t>
            </w:r>
          </w:p>
        </w:tc>
        <w:tc>
          <w:tcPr>
            <w:tcW w:w="1025" w:type="pct"/>
            <w:shd w:val="clear" w:color="auto" w:fill="auto"/>
            <w:noWrap/>
            <w:vAlign w:val="center"/>
          </w:tcPr>
          <w:p w14:paraId="434A0742" w14:textId="34934172" w:rsidR="00DB6E17" w:rsidRPr="00112F25" w:rsidRDefault="00112F59" w:rsidP="005D4C4F">
            <w:pPr>
              <w:jc w:val="right"/>
              <w:rPr>
                <w:sz w:val="18"/>
                <w:szCs w:val="18"/>
                <w:lang w:eastAsia="hr-HR"/>
              </w:rPr>
            </w:pPr>
            <w:r w:rsidRPr="00112F25">
              <w:rPr>
                <w:sz w:val="18"/>
                <w:szCs w:val="18"/>
                <w:lang w:eastAsia="hr-HR"/>
              </w:rPr>
              <w:t>(49.7</w:t>
            </w:r>
            <w:r w:rsidR="007F2A71" w:rsidRPr="00112F25">
              <w:rPr>
                <w:sz w:val="18"/>
                <w:szCs w:val="18"/>
                <w:lang w:eastAsia="hr-HR"/>
              </w:rPr>
              <w:t>29</w:t>
            </w:r>
            <w:r w:rsidRPr="00112F25">
              <w:rPr>
                <w:sz w:val="18"/>
                <w:szCs w:val="18"/>
                <w:lang w:eastAsia="hr-HR"/>
              </w:rPr>
              <w:t>)</w:t>
            </w:r>
          </w:p>
        </w:tc>
      </w:tr>
      <w:tr w:rsidR="00DB6E17" w:rsidRPr="00112F25" w14:paraId="1B114D13" w14:textId="77777777" w:rsidTr="005347D5">
        <w:trPr>
          <w:trHeight w:val="300"/>
        </w:trPr>
        <w:tc>
          <w:tcPr>
            <w:tcW w:w="1639" w:type="pct"/>
            <w:shd w:val="clear" w:color="auto" w:fill="auto"/>
            <w:noWrap/>
            <w:vAlign w:val="bottom"/>
            <w:hideMark/>
          </w:tcPr>
          <w:p w14:paraId="081D87B9" w14:textId="77777777" w:rsidR="00DB6E17" w:rsidRPr="00112F25" w:rsidRDefault="00DB6E17" w:rsidP="00A02495">
            <w:pPr>
              <w:rPr>
                <w:sz w:val="18"/>
                <w:szCs w:val="18"/>
                <w:lang w:eastAsia="hr-HR"/>
              </w:rPr>
            </w:pPr>
            <w:r w:rsidRPr="00112F25">
              <w:rPr>
                <w:sz w:val="18"/>
                <w:szCs w:val="18"/>
                <w:lang w:eastAsia="hr-HR"/>
              </w:rPr>
              <w:t>Grad Vodnjan</w:t>
            </w:r>
          </w:p>
        </w:tc>
        <w:tc>
          <w:tcPr>
            <w:tcW w:w="1032" w:type="pct"/>
            <w:shd w:val="clear" w:color="auto" w:fill="auto"/>
            <w:noWrap/>
            <w:vAlign w:val="center"/>
          </w:tcPr>
          <w:p w14:paraId="6FEC6EB0" w14:textId="3DDB47BE" w:rsidR="00DB6E17" w:rsidRPr="00112F25" w:rsidRDefault="00112F59" w:rsidP="005D4C4F">
            <w:pPr>
              <w:jc w:val="right"/>
              <w:rPr>
                <w:sz w:val="18"/>
                <w:szCs w:val="18"/>
                <w:lang w:eastAsia="hr-HR"/>
              </w:rPr>
            </w:pPr>
            <w:r w:rsidRPr="00112F25">
              <w:rPr>
                <w:sz w:val="18"/>
                <w:szCs w:val="18"/>
                <w:lang w:eastAsia="hr-HR"/>
              </w:rPr>
              <w:t>22.585</w:t>
            </w:r>
          </w:p>
        </w:tc>
        <w:tc>
          <w:tcPr>
            <w:tcW w:w="205" w:type="pct"/>
            <w:shd w:val="clear" w:color="auto" w:fill="auto"/>
            <w:noWrap/>
            <w:vAlign w:val="center"/>
          </w:tcPr>
          <w:p w14:paraId="5C5F55C4" w14:textId="77777777" w:rsidR="00DB6E17" w:rsidRPr="00112F25" w:rsidRDefault="00DB6E17" w:rsidP="005D4C4F">
            <w:pPr>
              <w:jc w:val="right"/>
              <w:rPr>
                <w:sz w:val="18"/>
                <w:szCs w:val="18"/>
                <w:lang w:eastAsia="hr-HR"/>
              </w:rPr>
            </w:pPr>
          </w:p>
        </w:tc>
        <w:tc>
          <w:tcPr>
            <w:tcW w:w="1099" w:type="pct"/>
            <w:shd w:val="clear" w:color="auto" w:fill="auto"/>
            <w:noWrap/>
            <w:vAlign w:val="center"/>
          </w:tcPr>
          <w:p w14:paraId="506A158C" w14:textId="31B1D23F" w:rsidR="00DB6E17" w:rsidRPr="00112F25" w:rsidRDefault="00112F59" w:rsidP="005D4C4F">
            <w:pPr>
              <w:jc w:val="right"/>
              <w:rPr>
                <w:sz w:val="18"/>
                <w:szCs w:val="18"/>
                <w:lang w:eastAsia="hr-HR"/>
              </w:rPr>
            </w:pPr>
            <w:r w:rsidRPr="00112F25">
              <w:rPr>
                <w:sz w:val="18"/>
                <w:szCs w:val="18"/>
                <w:lang w:eastAsia="hr-HR"/>
              </w:rPr>
              <w:t>233.625</w:t>
            </w:r>
          </w:p>
        </w:tc>
        <w:tc>
          <w:tcPr>
            <w:tcW w:w="1025" w:type="pct"/>
            <w:shd w:val="clear" w:color="auto" w:fill="auto"/>
            <w:noWrap/>
            <w:vAlign w:val="center"/>
          </w:tcPr>
          <w:p w14:paraId="10C9716E" w14:textId="62EC0F38" w:rsidR="00DB6E17" w:rsidRPr="00112F25" w:rsidRDefault="00112F59" w:rsidP="005D4C4F">
            <w:pPr>
              <w:jc w:val="right"/>
              <w:rPr>
                <w:sz w:val="18"/>
                <w:szCs w:val="18"/>
                <w:lang w:eastAsia="hr-HR"/>
              </w:rPr>
            </w:pPr>
            <w:r w:rsidRPr="00112F25">
              <w:rPr>
                <w:sz w:val="18"/>
                <w:szCs w:val="18"/>
                <w:lang w:eastAsia="hr-HR"/>
              </w:rPr>
              <w:t>256.21</w:t>
            </w:r>
            <w:r w:rsidR="007F2A71" w:rsidRPr="00112F25">
              <w:rPr>
                <w:sz w:val="18"/>
                <w:szCs w:val="18"/>
                <w:lang w:eastAsia="hr-HR"/>
              </w:rPr>
              <w:t>1</w:t>
            </w:r>
          </w:p>
        </w:tc>
      </w:tr>
      <w:tr w:rsidR="00DB6E17" w:rsidRPr="00112F25" w14:paraId="723C8DE7" w14:textId="77777777" w:rsidTr="005347D5">
        <w:trPr>
          <w:trHeight w:val="300"/>
        </w:trPr>
        <w:tc>
          <w:tcPr>
            <w:tcW w:w="1639" w:type="pct"/>
            <w:shd w:val="clear" w:color="auto" w:fill="auto"/>
            <w:noWrap/>
            <w:vAlign w:val="bottom"/>
            <w:hideMark/>
          </w:tcPr>
          <w:p w14:paraId="01C689A7" w14:textId="77777777" w:rsidR="00DB6E17" w:rsidRPr="00112F25" w:rsidRDefault="00DB6E17" w:rsidP="00A02495">
            <w:pPr>
              <w:rPr>
                <w:sz w:val="18"/>
                <w:szCs w:val="18"/>
                <w:lang w:eastAsia="hr-HR"/>
              </w:rPr>
            </w:pPr>
            <w:r w:rsidRPr="00112F25">
              <w:rPr>
                <w:sz w:val="18"/>
                <w:szCs w:val="18"/>
                <w:lang w:eastAsia="hr-HR"/>
              </w:rPr>
              <w:t>Općina Medulin</w:t>
            </w:r>
          </w:p>
        </w:tc>
        <w:tc>
          <w:tcPr>
            <w:tcW w:w="1032" w:type="pct"/>
            <w:shd w:val="clear" w:color="auto" w:fill="auto"/>
            <w:noWrap/>
            <w:vAlign w:val="center"/>
          </w:tcPr>
          <w:p w14:paraId="389B848A" w14:textId="5E98E866" w:rsidR="00DB6E17" w:rsidRPr="00112F25" w:rsidRDefault="00112F59" w:rsidP="005D4C4F">
            <w:pPr>
              <w:jc w:val="right"/>
              <w:rPr>
                <w:sz w:val="18"/>
                <w:szCs w:val="18"/>
                <w:lang w:eastAsia="hr-HR"/>
              </w:rPr>
            </w:pPr>
            <w:r w:rsidRPr="00112F25">
              <w:rPr>
                <w:sz w:val="18"/>
                <w:szCs w:val="18"/>
                <w:lang w:eastAsia="hr-HR"/>
              </w:rPr>
              <w:t>38.769</w:t>
            </w:r>
          </w:p>
        </w:tc>
        <w:tc>
          <w:tcPr>
            <w:tcW w:w="205" w:type="pct"/>
            <w:shd w:val="clear" w:color="auto" w:fill="auto"/>
            <w:noWrap/>
            <w:vAlign w:val="center"/>
          </w:tcPr>
          <w:p w14:paraId="413876CE" w14:textId="77777777" w:rsidR="00DB6E17" w:rsidRPr="00112F25" w:rsidRDefault="00DB6E17" w:rsidP="005D4C4F">
            <w:pPr>
              <w:jc w:val="right"/>
              <w:rPr>
                <w:sz w:val="18"/>
                <w:szCs w:val="18"/>
                <w:lang w:eastAsia="hr-HR"/>
              </w:rPr>
            </w:pPr>
          </w:p>
        </w:tc>
        <w:tc>
          <w:tcPr>
            <w:tcW w:w="1099" w:type="pct"/>
            <w:shd w:val="clear" w:color="auto" w:fill="auto"/>
            <w:noWrap/>
            <w:vAlign w:val="center"/>
          </w:tcPr>
          <w:p w14:paraId="2E32910F" w14:textId="4A496E1F" w:rsidR="00DB6E17" w:rsidRPr="00112F25" w:rsidRDefault="00DB6E17" w:rsidP="005D4C4F">
            <w:pPr>
              <w:jc w:val="right"/>
              <w:rPr>
                <w:sz w:val="18"/>
                <w:szCs w:val="18"/>
                <w:lang w:eastAsia="hr-HR"/>
              </w:rPr>
            </w:pPr>
            <w:r w:rsidRPr="00112F25">
              <w:rPr>
                <w:sz w:val="18"/>
                <w:szCs w:val="18"/>
                <w:lang w:eastAsia="hr-HR"/>
              </w:rPr>
              <w:t>1</w:t>
            </w:r>
            <w:r w:rsidR="00112F59" w:rsidRPr="00112F25">
              <w:rPr>
                <w:sz w:val="18"/>
                <w:szCs w:val="18"/>
                <w:lang w:eastAsia="hr-HR"/>
              </w:rPr>
              <w:t>79.458</w:t>
            </w:r>
          </w:p>
        </w:tc>
        <w:tc>
          <w:tcPr>
            <w:tcW w:w="1025" w:type="pct"/>
            <w:shd w:val="clear" w:color="auto" w:fill="auto"/>
            <w:noWrap/>
            <w:vAlign w:val="center"/>
          </w:tcPr>
          <w:p w14:paraId="64F3A638" w14:textId="1F64C621" w:rsidR="00DB6E17" w:rsidRPr="00112F25" w:rsidRDefault="00112F59" w:rsidP="005D4C4F">
            <w:pPr>
              <w:jc w:val="right"/>
              <w:rPr>
                <w:sz w:val="18"/>
                <w:szCs w:val="18"/>
                <w:lang w:eastAsia="hr-HR"/>
              </w:rPr>
            </w:pPr>
            <w:r w:rsidRPr="00112F25">
              <w:rPr>
                <w:sz w:val="18"/>
                <w:szCs w:val="18"/>
                <w:lang w:eastAsia="hr-HR"/>
              </w:rPr>
              <w:t>218.227</w:t>
            </w:r>
          </w:p>
        </w:tc>
      </w:tr>
      <w:tr w:rsidR="00DB6E17" w:rsidRPr="00112F25" w14:paraId="638C03C1" w14:textId="77777777" w:rsidTr="005347D5">
        <w:trPr>
          <w:trHeight w:val="300"/>
        </w:trPr>
        <w:tc>
          <w:tcPr>
            <w:tcW w:w="1639" w:type="pct"/>
            <w:tcBorders>
              <w:bottom w:val="single" w:sz="8" w:space="0" w:color="404040" w:themeColor="text1" w:themeTint="BF"/>
            </w:tcBorders>
            <w:shd w:val="clear" w:color="auto" w:fill="auto"/>
            <w:noWrap/>
            <w:vAlign w:val="bottom"/>
            <w:hideMark/>
          </w:tcPr>
          <w:p w14:paraId="181CD5C6" w14:textId="77777777" w:rsidR="00DB6E17" w:rsidRPr="00112F25" w:rsidRDefault="00DB6E17" w:rsidP="00A02495">
            <w:pPr>
              <w:rPr>
                <w:sz w:val="18"/>
                <w:szCs w:val="18"/>
                <w:lang w:eastAsia="hr-HR"/>
              </w:rPr>
            </w:pPr>
            <w:r w:rsidRPr="00112F25">
              <w:rPr>
                <w:sz w:val="18"/>
                <w:szCs w:val="18"/>
                <w:lang w:eastAsia="hr-HR"/>
              </w:rPr>
              <w:t>Općina Fažana</w:t>
            </w:r>
          </w:p>
        </w:tc>
        <w:tc>
          <w:tcPr>
            <w:tcW w:w="1032" w:type="pct"/>
            <w:tcBorders>
              <w:bottom w:val="single" w:sz="8" w:space="0" w:color="404040" w:themeColor="text1" w:themeTint="BF"/>
            </w:tcBorders>
            <w:shd w:val="clear" w:color="auto" w:fill="auto"/>
            <w:noWrap/>
            <w:vAlign w:val="center"/>
          </w:tcPr>
          <w:p w14:paraId="2541D457" w14:textId="156F8356" w:rsidR="00DB6E17" w:rsidRPr="00112F25" w:rsidRDefault="00112F59" w:rsidP="005D4C4F">
            <w:pPr>
              <w:jc w:val="right"/>
              <w:rPr>
                <w:sz w:val="18"/>
                <w:szCs w:val="18"/>
                <w:lang w:eastAsia="hr-HR"/>
              </w:rPr>
            </w:pPr>
            <w:r w:rsidRPr="00112F25">
              <w:rPr>
                <w:sz w:val="18"/>
                <w:szCs w:val="18"/>
                <w:lang w:eastAsia="hr-HR"/>
              </w:rPr>
              <w:t>11.797</w:t>
            </w:r>
          </w:p>
        </w:tc>
        <w:tc>
          <w:tcPr>
            <w:tcW w:w="205" w:type="pct"/>
            <w:tcBorders>
              <w:bottom w:val="single" w:sz="8" w:space="0" w:color="404040" w:themeColor="text1" w:themeTint="BF"/>
            </w:tcBorders>
            <w:shd w:val="clear" w:color="auto" w:fill="auto"/>
            <w:noWrap/>
            <w:vAlign w:val="center"/>
          </w:tcPr>
          <w:p w14:paraId="697BC50D" w14:textId="77777777" w:rsidR="00DB6E17" w:rsidRPr="00112F25" w:rsidRDefault="00DB6E17" w:rsidP="005D4C4F">
            <w:pPr>
              <w:jc w:val="right"/>
              <w:rPr>
                <w:sz w:val="18"/>
                <w:szCs w:val="18"/>
                <w:lang w:eastAsia="hr-HR"/>
              </w:rPr>
            </w:pPr>
          </w:p>
        </w:tc>
        <w:tc>
          <w:tcPr>
            <w:tcW w:w="1099" w:type="pct"/>
            <w:tcBorders>
              <w:bottom w:val="single" w:sz="8" w:space="0" w:color="404040" w:themeColor="text1" w:themeTint="BF"/>
            </w:tcBorders>
            <w:shd w:val="clear" w:color="auto" w:fill="auto"/>
            <w:noWrap/>
            <w:vAlign w:val="center"/>
          </w:tcPr>
          <w:p w14:paraId="4C436D72" w14:textId="606D5D05" w:rsidR="00DB6E17" w:rsidRPr="00112F25" w:rsidRDefault="00112F59" w:rsidP="005D4C4F">
            <w:pPr>
              <w:jc w:val="right"/>
              <w:rPr>
                <w:sz w:val="18"/>
                <w:szCs w:val="18"/>
                <w:lang w:eastAsia="hr-HR"/>
              </w:rPr>
            </w:pPr>
            <w:r w:rsidRPr="00112F25">
              <w:rPr>
                <w:sz w:val="18"/>
                <w:szCs w:val="18"/>
                <w:lang w:eastAsia="hr-HR"/>
              </w:rPr>
              <w:t>130.399</w:t>
            </w:r>
          </w:p>
        </w:tc>
        <w:tc>
          <w:tcPr>
            <w:tcW w:w="1025" w:type="pct"/>
            <w:tcBorders>
              <w:bottom w:val="single" w:sz="8" w:space="0" w:color="404040" w:themeColor="text1" w:themeTint="BF"/>
            </w:tcBorders>
            <w:shd w:val="clear" w:color="auto" w:fill="auto"/>
            <w:noWrap/>
            <w:vAlign w:val="center"/>
          </w:tcPr>
          <w:p w14:paraId="51CA9391" w14:textId="1696CAC8" w:rsidR="00DB6E17" w:rsidRPr="00112F25" w:rsidRDefault="00112F59" w:rsidP="005D4C4F">
            <w:pPr>
              <w:jc w:val="right"/>
              <w:rPr>
                <w:sz w:val="18"/>
                <w:szCs w:val="18"/>
                <w:lang w:eastAsia="hr-HR"/>
              </w:rPr>
            </w:pPr>
            <w:r w:rsidRPr="00112F25">
              <w:rPr>
                <w:sz w:val="18"/>
                <w:szCs w:val="18"/>
                <w:lang w:eastAsia="hr-HR"/>
              </w:rPr>
              <w:t>142.196</w:t>
            </w:r>
          </w:p>
        </w:tc>
      </w:tr>
      <w:tr w:rsidR="00DB6E17" w:rsidRPr="00513B34" w14:paraId="3BE53CE9" w14:textId="77777777" w:rsidTr="005347D5">
        <w:trPr>
          <w:trHeight w:val="300"/>
        </w:trPr>
        <w:tc>
          <w:tcPr>
            <w:tcW w:w="1639" w:type="pct"/>
            <w:tcBorders>
              <w:top w:val="single" w:sz="8" w:space="0" w:color="404040" w:themeColor="text1" w:themeTint="BF"/>
              <w:bottom w:val="single" w:sz="8" w:space="0" w:color="404040" w:themeColor="text1" w:themeTint="BF"/>
            </w:tcBorders>
            <w:shd w:val="clear" w:color="auto" w:fill="auto"/>
            <w:noWrap/>
            <w:vAlign w:val="bottom"/>
            <w:hideMark/>
          </w:tcPr>
          <w:p w14:paraId="0D78FA67" w14:textId="639D50D5" w:rsidR="00DB6E17" w:rsidRPr="00112F25" w:rsidRDefault="00DB6E17" w:rsidP="00A02495">
            <w:pPr>
              <w:rPr>
                <w:b/>
                <w:bCs/>
                <w:sz w:val="18"/>
                <w:szCs w:val="18"/>
                <w:lang w:eastAsia="hr-HR"/>
              </w:rPr>
            </w:pPr>
            <w:r w:rsidRPr="00112F25">
              <w:rPr>
                <w:b/>
                <w:bCs/>
                <w:sz w:val="18"/>
                <w:szCs w:val="18"/>
                <w:lang w:eastAsia="hr-HR"/>
              </w:rPr>
              <w:t> Ukupno</w:t>
            </w:r>
          </w:p>
        </w:tc>
        <w:tc>
          <w:tcPr>
            <w:tcW w:w="1032" w:type="pct"/>
            <w:tcBorders>
              <w:top w:val="single" w:sz="8" w:space="0" w:color="404040" w:themeColor="text1" w:themeTint="BF"/>
              <w:bottom w:val="single" w:sz="8" w:space="0" w:color="404040" w:themeColor="text1" w:themeTint="BF"/>
            </w:tcBorders>
            <w:shd w:val="clear" w:color="auto" w:fill="auto"/>
            <w:noWrap/>
            <w:vAlign w:val="center"/>
          </w:tcPr>
          <w:p w14:paraId="752AFB7C" w14:textId="1820D075" w:rsidR="00DB6E17" w:rsidRPr="00112F25" w:rsidRDefault="00112F59" w:rsidP="005D4C4F">
            <w:pPr>
              <w:jc w:val="right"/>
              <w:rPr>
                <w:b/>
                <w:bCs/>
                <w:sz w:val="18"/>
                <w:szCs w:val="18"/>
                <w:lang w:eastAsia="hr-HR"/>
              </w:rPr>
            </w:pPr>
            <w:r w:rsidRPr="00112F25">
              <w:rPr>
                <w:b/>
                <w:bCs/>
                <w:sz w:val="18"/>
                <w:szCs w:val="18"/>
                <w:lang w:eastAsia="hr-HR"/>
              </w:rPr>
              <w:fldChar w:fldCharType="begin"/>
            </w:r>
            <w:r w:rsidRPr="00112F25">
              <w:rPr>
                <w:b/>
                <w:bCs/>
                <w:sz w:val="18"/>
                <w:szCs w:val="18"/>
                <w:lang w:eastAsia="hr-HR"/>
              </w:rPr>
              <w:instrText xml:space="preserve"> =SUM(ABOVE) </w:instrText>
            </w:r>
            <w:r w:rsidRPr="00112F25">
              <w:rPr>
                <w:b/>
                <w:bCs/>
                <w:sz w:val="18"/>
                <w:szCs w:val="18"/>
                <w:lang w:eastAsia="hr-HR"/>
              </w:rPr>
              <w:fldChar w:fldCharType="separate"/>
            </w:r>
            <w:r w:rsidRPr="00112F25">
              <w:rPr>
                <w:b/>
                <w:bCs/>
                <w:noProof/>
                <w:sz w:val="18"/>
                <w:szCs w:val="18"/>
                <w:lang w:eastAsia="hr-HR"/>
              </w:rPr>
              <w:t>271.710</w:t>
            </w:r>
            <w:r w:rsidRPr="00112F25">
              <w:rPr>
                <w:b/>
                <w:bCs/>
                <w:sz w:val="18"/>
                <w:szCs w:val="18"/>
                <w:lang w:eastAsia="hr-HR"/>
              </w:rPr>
              <w:fldChar w:fldCharType="end"/>
            </w:r>
          </w:p>
        </w:tc>
        <w:tc>
          <w:tcPr>
            <w:tcW w:w="205" w:type="pct"/>
            <w:tcBorders>
              <w:top w:val="single" w:sz="8" w:space="0" w:color="404040" w:themeColor="text1" w:themeTint="BF"/>
              <w:bottom w:val="single" w:sz="8" w:space="0" w:color="404040" w:themeColor="text1" w:themeTint="BF"/>
            </w:tcBorders>
            <w:shd w:val="clear" w:color="auto" w:fill="auto"/>
            <w:noWrap/>
            <w:vAlign w:val="center"/>
          </w:tcPr>
          <w:p w14:paraId="0CFEBB7C" w14:textId="77777777" w:rsidR="00DB6E17" w:rsidRPr="00112F25" w:rsidRDefault="00DB6E17" w:rsidP="005D4C4F">
            <w:pPr>
              <w:jc w:val="right"/>
              <w:rPr>
                <w:b/>
                <w:bCs/>
                <w:sz w:val="18"/>
                <w:szCs w:val="18"/>
                <w:lang w:eastAsia="hr-HR"/>
              </w:rPr>
            </w:pPr>
          </w:p>
        </w:tc>
        <w:tc>
          <w:tcPr>
            <w:tcW w:w="1099" w:type="pct"/>
            <w:tcBorders>
              <w:top w:val="single" w:sz="8" w:space="0" w:color="404040" w:themeColor="text1" w:themeTint="BF"/>
              <w:bottom w:val="single" w:sz="8" w:space="0" w:color="404040" w:themeColor="text1" w:themeTint="BF"/>
            </w:tcBorders>
            <w:shd w:val="clear" w:color="auto" w:fill="auto"/>
            <w:noWrap/>
            <w:vAlign w:val="center"/>
          </w:tcPr>
          <w:p w14:paraId="236B4C34" w14:textId="68C2F289" w:rsidR="00DB6E17" w:rsidRPr="00112F25" w:rsidRDefault="00112F59" w:rsidP="005D4C4F">
            <w:pPr>
              <w:jc w:val="right"/>
              <w:rPr>
                <w:b/>
                <w:bCs/>
                <w:sz w:val="18"/>
                <w:szCs w:val="18"/>
                <w:lang w:eastAsia="hr-HR"/>
              </w:rPr>
            </w:pPr>
            <w:r w:rsidRPr="00112F25">
              <w:rPr>
                <w:b/>
                <w:bCs/>
                <w:sz w:val="18"/>
                <w:szCs w:val="18"/>
                <w:lang w:eastAsia="hr-HR"/>
              </w:rPr>
              <w:t>1.963.71</w:t>
            </w:r>
            <w:r w:rsidR="007F2A71" w:rsidRPr="00112F25">
              <w:rPr>
                <w:b/>
                <w:bCs/>
                <w:sz w:val="18"/>
                <w:szCs w:val="18"/>
                <w:lang w:eastAsia="hr-HR"/>
              </w:rPr>
              <w:t>5</w:t>
            </w:r>
          </w:p>
        </w:tc>
        <w:tc>
          <w:tcPr>
            <w:tcW w:w="1025" w:type="pct"/>
            <w:tcBorders>
              <w:top w:val="single" w:sz="8" w:space="0" w:color="404040" w:themeColor="text1" w:themeTint="BF"/>
              <w:bottom w:val="single" w:sz="8" w:space="0" w:color="404040" w:themeColor="text1" w:themeTint="BF"/>
            </w:tcBorders>
            <w:shd w:val="clear" w:color="auto" w:fill="auto"/>
            <w:noWrap/>
            <w:vAlign w:val="center"/>
          </w:tcPr>
          <w:p w14:paraId="66573DA8" w14:textId="6DA5ADDF" w:rsidR="00DB6E17" w:rsidRPr="00513B34" w:rsidRDefault="00112F59" w:rsidP="005D4C4F">
            <w:pPr>
              <w:jc w:val="right"/>
              <w:rPr>
                <w:b/>
                <w:bCs/>
                <w:sz w:val="18"/>
                <w:szCs w:val="18"/>
                <w:lang w:eastAsia="hr-HR"/>
              </w:rPr>
            </w:pPr>
            <w:r w:rsidRPr="00112F25">
              <w:rPr>
                <w:b/>
                <w:bCs/>
                <w:sz w:val="18"/>
                <w:szCs w:val="18"/>
                <w:lang w:eastAsia="hr-HR"/>
              </w:rPr>
              <w:t>2.235.425</w:t>
            </w:r>
          </w:p>
        </w:tc>
      </w:tr>
    </w:tbl>
    <w:p w14:paraId="645E792E" w14:textId="77777777" w:rsidR="00DB6E17" w:rsidRDefault="00DB6E17" w:rsidP="00A02495"/>
    <w:p w14:paraId="175BBEF1" w14:textId="4094AFC0" w:rsidR="00B53980" w:rsidRPr="001125DA" w:rsidRDefault="00B00921" w:rsidP="00A02495">
      <w:r w:rsidRPr="001125DA">
        <w:t xml:space="preserve">Nakon pripajanja društva Pragrande d.o.o. </w:t>
      </w:r>
      <w:r w:rsidR="00B53980" w:rsidRPr="001125DA">
        <w:t>kao pravni sljednik društvo VODOVOD PULA</w:t>
      </w:r>
      <w:r w:rsidR="007C25FB">
        <w:t>-LABIN</w:t>
      </w:r>
      <w:r w:rsidR="00B53980" w:rsidRPr="001125DA">
        <w:t xml:space="preserve"> d.o.o. </w:t>
      </w:r>
      <w:r w:rsidR="007C25FB">
        <w:t xml:space="preserve">(ex: VODOVOD PULA D.O.O.) </w:t>
      </w:r>
      <w:r w:rsidR="00B53980" w:rsidRPr="001125DA">
        <w:t>od 01.06.2023. godine preuzima sva prava i obveze pripojenog društva, te važeć</w:t>
      </w:r>
      <w:r w:rsidR="00CF3ADE" w:rsidRPr="001125DA">
        <w:t>a</w:t>
      </w:r>
      <w:r w:rsidR="00B53980" w:rsidRPr="001125DA">
        <w:t xml:space="preserve"> Odluk</w:t>
      </w:r>
      <w:r w:rsidR="00CF3ADE" w:rsidRPr="001125DA">
        <w:t>a</w:t>
      </w:r>
      <w:r w:rsidR="00B53980" w:rsidRPr="001125DA">
        <w:t xml:space="preserve"> o naknadi za razvoj sustava javne odvodnje (objavljena u NN 79/2022) </w:t>
      </w:r>
      <w:r w:rsidR="00B53980" w:rsidRPr="001125DA">
        <w:lastRenderedPageBreak/>
        <w:t>postaje valjani akt društva preuzimatelja</w:t>
      </w:r>
      <w:r w:rsidR="007C25FB">
        <w:t xml:space="preserve"> </w:t>
      </w:r>
      <w:r w:rsidR="007C25FB" w:rsidRPr="001125DA">
        <w:t>VODOVOD PULA</w:t>
      </w:r>
      <w:r w:rsidR="007C25FB">
        <w:t>-LABIN</w:t>
      </w:r>
      <w:r w:rsidR="007C25FB" w:rsidRPr="001125DA">
        <w:t xml:space="preserve"> d.o.o</w:t>
      </w:r>
      <w:r w:rsidR="00B53980" w:rsidRPr="001125DA">
        <w:t xml:space="preserve"> </w:t>
      </w:r>
      <w:r w:rsidR="007C25FB" w:rsidRPr="001125DA">
        <w:t xml:space="preserve">. </w:t>
      </w:r>
      <w:r w:rsidR="007C25FB">
        <w:t xml:space="preserve">(ex: VODOVOD PULA D.O.O.) </w:t>
      </w:r>
      <w:r w:rsidR="00B53980" w:rsidRPr="001125DA">
        <w:t>po kojima obračunava i naplaćuje naknadu za razvoj sustava javne odvodnje.</w:t>
      </w:r>
    </w:p>
    <w:p w14:paraId="35B8E63D" w14:textId="77777777" w:rsidR="00B53980" w:rsidRPr="009013E3" w:rsidRDefault="00B53980" w:rsidP="00A02495">
      <w:pPr>
        <w:rPr>
          <w:highlight w:val="magenta"/>
        </w:rPr>
      </w:pPr>
    </w:p>
    <w:p w14:paraId="11657EF7" w14:textId="4488ADAA" w:rsidR="00512468" w:rsidRPr="0029201F" w:rsidRDefault="00512468" w:rsidP="00A02495">
      <w:r w:rsidRPr="0029201F">
        <w:t xml:space="preserve">Naknada za razvoj sustava javne odvodnje sastoji se od obračunatih i nenaplaćenih naknada u iznosu od </w:t>
      </w:r>
      <w:r w:rsidR="0029201F" w:rsidRPr="0029201F">
        <w:t>280.139</w:t>
      </w:r>
      <w:r w:rsidRPr="0029201F">
        <w:t xml:space="preserve"> eura te naplaćenih i neutrošenih sredstava u iznosu od </w:t>
      </w:r>
      <w:r w:rsidR="0029201F" w:rsidRPr="0029201F">
        <w:t>7.505.690</w:t>
      </w:r>
      <w:r w:rsidRPr="0029201F">
        <w:t xml:space="preserve"> eura.</w:t>
      </w:r>
    </w:p>
    <w:p w14:paraId="7DC4842C" w14:textId="77777777" w:rsidR="00512468" w:rsidRPr="0029201F" w:rsidRDefault="00512468" w:rsidP="00A02495"/>
    <w:p w14:paraId="770F7FE5" w14:textId="70F50C10" w:rsidR="00512468" w:rsidRDefault="00512468" w:rsidP="00A02495">
      <w:r w:rsidRPr="0029201F">
        <w:t>U nastavku se daje prikaz naknade za razvoj sustava odvodnje na dan 31.12.202</w:t>
      </w:r>
      <w:r w:rsidR="0029201F" w:rsidRPr="0029201F">
        <w:t>4</w:t>
      </w:r>
      <w:r w:rsidRPr="0029201F">
        <w:t>. godine po jedinicama lokalne samouprave:</w:t>
      </w:r>
    </w:p>
    <w:p w14:paraId="6D116455" w14:textId="77777777" w:rsidR="00D13CFD" w:rsidRDefault="00D13CFD" w:rsidP="00A02495"/>
    <w:tbl>
      <w:tblPr>
        <w:tblW w:w="5000" w:type="pct"/>
        <w:tblBorders>
          <w:top w:val="single" w:sz="4" w:space="0" w:color="BFBFBF" w:themeColor="background1" w:themeShade="BF"/>
          <w:bottom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2974"/>
        <w:gridCol w:w="1872"/>
        <w:gridCol w:w="372"/>
        <w:gridCol w:w="1994"/>
        <w:gridCol w:w="1860"/>
      </w:tblGrid>
      <w:tr w:rsidR="00513B34" w:rsidRPr="00513B34" w14:paraId="4E3022E8" w14:textId="77777777" w:rsidTr="00513B34">
        <w:trPr>
          <w:trHeight w:val="498"/>
        </w:trPr>
        <w:tc>
          <w:tcPr>
            <w:tcW w:w="1639" w:type="pct"/>
            <w:tcBorders>
              <w:top w:val="single" w:sz="8" w:space="0" w:color="404040" w:themeColor="text1" w:themeTint="BF"/>
              <w:bottom w:val="single" w:sz="8" w:space="0" w:color="404040" w:themeColor="text1" w:themeTint="BF"/>
            </w:tcBorders>
            <w:shd w:val="clear" w:color="auto" w:fill="BFBFBF" w:themeFill="background1" w:themeFillShade="BF"/>
            <w:noWrap/>
            <w:vAlign w:val="center"/>
            <w:hideMark/>
          </w:tcPr>
          <w:p w14:paraId="2E401871" w14:textId="77777777" w:rsidR="00513B34" w:rsidRPr="00513B34" w:rsidRDefault="00513B34" w:rsidP="00513B34">
            <w:pPr>
              <w:rPr>
                <w:b/>
                <w:bCs/>
                <w:sz w:val="18"/>
                <w:szCs w:val="18"/>
                <w:lang w:eastAsia="hr-HR"/>
              </w:rPr>
            </w:pPr>
            <w:r w:rsidRPr="00513B34">
              <w:rPr>
                <w:b/>
                <w:bCs/>
                <w:sz w:val="18"/>
                <w:szCs w:val="18"/>
                <w:lang w:eastAsia="hr-HR"/>
              </w:rPr>
              <w:t>Gradovi/Općine</w:t>
            </w:r>
          </w:p>
        </w:tc>
        <w:tc>
          <w:tcPr>
            <w:tcW w:w="1032" w:type="pct"/>
            <w:tcBorders>
              <w:top w:val="single" w:sz="8" w:space="0" w:color="404040" w:themeColor="text1" w:themeTint="BF"/>
              <w:bottom w:val="single" w:sz="8" w:space="0" w:color="404040" w:themeColor="text1" w:themeTint="BF"/>
            </w:tcBorders>
            <w:shd w:val="clear" w:color="auto" w:fill="BFBFBF" w:themeFill="background1" w:themeFillShade="BF"/>
            <w:vAlign w:val="center"/>
            <w:hideMark/>
          </w:tcPr>
          <w:p w14:paraId="6BF6610B" w14:textId="134A215A" w:rsidR="00513B34" w:rsidRPr="00513B34" w:rsidRDefault="00513B34" w:rsidP="00513B34">
            <w:pPr>
              <w:jc w:val="center"/>
              <w:rPr>
                <w:b/>
                <w:bCs/>
                <w:sz w:val="18"/>
                <w:szCs w:val="18"/>
                <w:lang w:eastAsia="hr-HR"/>
              </w:rPr>
            </w:pPr>
            <w:r w:rsidRPr="00513B34">
              <w:rPr>
                <w:b/>
                <w:bCs/>
                <w:sz w:val="18"/>
                <w:szCs w:val="18"/>
              </w:rPr>
              <w:t>Obračunato, nenaplaćeno</w:t>
            </w:r>
          </w:p>
        </w:tc>
        <w:tc>
          <w:tcPr>
            <w:tcW w:w="205" w:type="pct"/>
            <w:tcBorders>
              <w:top w:val="single" w:sz="8" w:space="0" w:color="404040" w:themeColor="text1" w:themeTint="BF"/>
              <w:bottom w:val="single" w:sz="8" w:space="0" w:color="404040" w:themeColor="text1" w:themeTint="BF"/>
            </w:tcBorders>
            <w:shd w:val="clear" w:color="auto" w:fill="BFBFBF" w:themeFill="background1" w:themeFillShade="BF"/>
            <w:noWrap/>
            <w:vAlign w:val="center"/>
            <w:hideMark/>
          </w:tcPr>
          <w:p w14:paraId="65F5D376" w14:textId="77777777" w:rsidR="00513B34" w:rsidRPr="00513B34" w:rsidRDefault="00513B34" w:rsidP="00513B34">
            <w:pPr>
              <w:jc w:val="center"/>
              <w:rPr>
                <w:b/>
                <w:bCs/>
                <w:sz w:val="18"/>
                <w:szCs w:val="18"/>
                <w:lang w:eastAsia="hr-HR"/>
              </w:rPr>
            </w:pPr>
          </w:p>
        </w:tc>
        <w:tc>
          <w:tcPr>
            <w:tcW w:w="1099" w:type="pct"/>
            <w:tcBorders>
              <w:top w:val="single" w:sz="8" w:space="0" w:color="404040" w:themeColor="text1" w:themeTint="BF"/>
              <w:bottom w:val="single" w:sz="8" w:space="0" w:color="404040" w:themeColor="text1" w:themeTint="BF"/>
            </w:tcBorders>
            <w:shd w:val="clear" w:color="auto" w:fill="BFBFBF" w:themeFill="background1" w:themeFillShade="BF"/>
            <w:vAlign w:val="center"/>
            <w:hideMark/>
          </w:tcPr>
          <w:p w14:paraId="22BE486F" w14:textId="58E838E2" w:rsidR="00513B34" w:rsidRPr="00513B34" w:rsidRDefault="00513B34" w:rsidP="00513B34">
            <w:pPr>
              <w:jc w:val="center"/>
              <w:rPr>
                <w:b/>
                <w:bCs/>
                <w:sz w:val="18"/>
                <w:szCs w:val="18"/>
                <w:lang w:eastAsia="hr-HR"/>
              </w:rPr>
            </w:pPr>
            <w:r w:rsidRPr="00513B34">
              <w:rPr>
                <w:b/>
                <w:bCs/>
                <w:sz w:val="18"/>
                <w:szCs w:val="18"/>
              </w:rPr>
              <w:t>Naplaćeno, neiskorišteno</w:t>
            </w:r>
          </w:p>
        </w:tc>
        <w:tc>
          <w:tcPr>
            <w:tcW w:w="1025" w:type="pct"/>
            <w:tcBorders>
              <w:top w:val="single" w:sz="8" w:space="0" w:color="404040" w:themeColor="text1" w:themeTint="BF"/>
              <w:bottom w:val="single" w:sz="8" w:space="0" w:color="404040" w:themeColor="text1" w:themeTint="BF"/>
            </w:tcBorders>
            <w:shd w:val="clear" w:color="auto" w:fill="BFBFBF" w:themeFill="background1" w:themeFillShade="BF"/>
            <w:noWrap/>
            <w:vAlign w:val="center"/>
            <w:hideMark/>
          </w:tcPr>
          <w:p w14:paraId="34F681AC" w14:textId="77777777" w:rsidR="00513B34" w:rsidRPr="00513B34" w:rsidRDefault="00513B34" w:rsidP="00513B34">
            <w:pPr>
              <w:jc w:val="center"/>
              <w:rPr>
                <w:b/>
                <w:bCs/>
                <w:sz w:val="18"/>
                <w:szCs w:val="18"/>
              </w:rPr>
            </w:pPr>
            <w:r w:rsidRPr="00513B34">
              <w:rPr>
                <w:b/>
                <w:bCs/>
                <w:sz w:val="18"/>
                <w:szCs w:val="18"/>
              </w:rPr>
              <w:t>Ukupno</w:t>
            </w:r>
          </w:p>
          <w:p w14:paraId="78ED99BF" w14:textId="221EC4A0" w:rsidR="00513B34" w:rsidRPr="00513B34" w:rsidRDefault="00513B34" w:rsidP="00513B34">
            <w:pPr>
              <w:jc w:val="center"/>
              <w:rPr>
                <w:b/>
                <w:bCs/>
                <w:sz w:val="18"/>
                <w:szCs w:val="18"/>
                <w:lang w:eastAsia="hr-HR"/>
              </w:rPr>
            </w:pPr>
            <w:r w:rsidRPr="00513B34">
              <w:rPr>
                <w:b/>
                <w:bCs/>
                <w:sz w:val="18"/>
                <w:szCs w:val="18"/>
              </w:rPr>
              <w:t>(u eurima)</w:t>
            </w:r>
          </w:p>
        </w:tc>
      </w:tr>
      <w:tr w:rsidR="00512468" w:rsidRPr="00513B34" w14:paraId="70FAF972" w14:textId="77777777" w:rsidTr="00513B34">
        <w:trPr>
          <w:trHeight w:val="284"/>
        </w:trPr>
        <w:tc>
          <w:tcPr>
            <w:tcW w:w="1639" w:type="pct"/>
            <w:tcBorders>
              <w:top w:val="single" w:sz="8" w:space="0" w:color="404040" w:themeColor="text1" w:themeTint="BF"/>
            </w:tcBorders>
            <w:shd w:val="clear" w:color="auto" w:fill="auto"/>
            <w:noWrap/>
            <w:vAlign w:val="bottom"/>
            <w:hideMark/>
          </w:tcPr>
          <w:p w14:paraId="27B7F520" w14:textId="77777777" w:rsidR="00512468" w:rsidRPr="00513B34" w:rsidRDefault="00512468" w:rsidP="00A02495">
            <w:pPr>
              <w:rPr>
                <w:sz w:val="18"/>
                <w:szCs w:val="18"/>
                <w:lang w:eastAsia="hr-HR"/>
              </w:rPr>
            </w:pPr>
            <w:r w:rsidRPr="00513B34">
              <w:rPr>
                <w:sz w:val="18"/>
                <w:szCs w:val="18"/>
                <w:lang w:eastAsia="hr-HR"/>
              </w:rPr>
              <w:t>Grad Pula</w:t>
            </w:r>
          </w:p>
        </w:tc>
        <w:tc>
          <w:tcPr>
            <w:tcW w:w="1032" w:type="pct"/>
            <w:tcBorders>
              <w:top w:val="single" w:sz="8" w:space="0" w:color="404040" w:themeColor="text1" w:themeTint="BF"/>
            </w:tcBorders>
            <w:shd w:val="clear" w:color="auto" w:fill="auto"/>
            <w:noWrap/>
            <w:vAlign w:val="center"/>
          </w:tcPr>
          <w:p w14:paraId="5743941B" w14:textId="591DEF07" w:rsidR="00512468" w:rsidRPr="00513B34" w:rsidRDefault="0029201F" w:rsidP="00513B34">
            <w:pPr>
              <w:jc w:val="right"/>
              <w:rPr>
                <w:sz w:val="18"/>
                <w:szCs w:val="18"/>
                <w:lang w:eastAsia="hr-HR"/>
              </w:rPr>
            </w:pPr>
            <w:r w:rsidRPr="00513B34">
              <w:rPr>
                <w:sz w:val="18"/>
                <w:szCs w:val="18"/>
                <w:lang w:eastAsia="hr-HR"/>
              </w:rPr>
              <w:t>242.680</w:t>
            </w:r>
          </w:p>
        </w:tc>
        <w:tc>
          <w:tcPr>
            <w:tcW w:w="205" w:type="pct"/>
            <w:tcBorders>
              <w:top w:val="single" w:sz="8" w:space="0" w:color="404040" w:themeColor="text1" w:themeTint="BF"/>
            </w:tcBorders>
            <w:shd w:val="clear" w:color="auto" w:fill="auto"/>
            <w:noWrap/>
            <w:vAlign w:val="center"/>
          </w:tcPr>
          <w:p w14:paraId="5695B496" w14:textId="77777777" w:rsidR="00512468" w:rsidRPr="00513B34" w:rsidRDefault="00512468" w:rsidP="00513B34">
            <w:pPr>
              <w:jc w:val="right"/>
              <w:rPr>
                <w:sz w:val="18"/>
                <w:szCs w:val="18"/>
                <w:lang w:eastAsia="hr-HR"/>
              </w:rPr>
            </w:pPr>
          </w:p>
        </w:tc>
        <w:tc>
          <w:tcPr>
            <w:tcW w:w="1099" w:type="pct"/>
            <w:tcBorders>
              <w:top w:val="single" w:sz="8" w:space="0" w:color="404040" w:themeColor="text1" w:themeTint="BF"/>
            </w:tcBorders>
            <w:shd w:val="clear" w:color="auto" w:fill="auto"/>
            <w:noWrap/>
            <w:vAlign w:val="center"/>
          </w:tcPr>
          <w:p w14:paraId="483DC418" w14:textId="0872C9BF" w:rsidR="00512468" w:rsidRPr="00513B34" w:rsidRDefault="0029201F" w:rsidP="00513B34">
            <w:pPr>
              <w:jc w:val="right"/>
              <w:rPr>
                <w:sz w:val="18"/>
                <w:szCs w:val="18"/>
                <w:lang w:eastAsia="hr-HR"/>
              </w:rPr>
            </w:pPr>
            <w:r w:rsidRPr="00513B34">
              <w:rPr>
                <w:sz w:val="18"/>
                <w:szCs w:val="18"/>
                <w:lang w:eastAsia="hr-HR"/>
              </w:rPr>
              <w:t>5.490.479</w:t>
            </w:r>
          </w:p>
        </w:tc>
        <w:tc>
          <w:tcPr>
            <w:tcW w:w="1025" w:type="pct"/>
            <w:tcBorders>
              <w:top w:val="single" w:sz="8" w:space="0" w:color="404040" w:themeColor="text1" w:themeTint="BF"/>
            </w:tcBorders>
            <w:shd w:val="clear" w:color="auto" w:fill="auto"/>
            <w:noWrap/>
            <w:vAlign w:val="center"/>
          </w:tcPr>
          <w:p w14:paraId="0498B240" w14:textId="7C3F9933" w:rsidR="00512468" w:rsidRPr="00513B34" w:rsidRDefault="0029201F" w:rsidP="00513B34">
            <w:pPr>
              <w:jc w:val="right"/>
              <w:rPr>
                <w:sz w:val="18"/>
                <w:szCs w:val="18"/>
                <w:lang w:eastAsia="hr-HR"/>
              </w:rPr>
            </w:pPr>
            <w:r w:rsidRPr="00513B34">
              <w:rPr>
                <w:sz w:val="18"/>
                <w:szCs w:val="18"/>
                <w:lang w:eastAsia="hr-HR"/>
              </w:rPr>
              <w:t>5.733.159</w:t>
            </w:r>
          </w:p>
        </w:tc>
      </w:tr>
      <w:tr w:rsidR="00512468" w:rsidRPr="00513B34" w14:paraId="488A2F82" w14:textId="77777777" w:rsidTr="00513B34">
        <w:trPr>
          <w:trHeight w:val="284"/>
        </w:trPr>
        <w:tc>
          <w:tcPr>
            <w:tcW w:w="1639" w:type="pct"/>
            <w:shd w:val="clear" w:color="auto" w:fill="auto"/>
            <w:noWrap/>
            <w:vAlign w:val="bottom"/>
            <w:hideMark/>
          </w:tcPr>
          <w:p w14:paraId="67406D18" w14:textId="77777777" w:rsidR="00512468" w:rsidRPr="00513B34" w:rsidRDefault="00512468" w:rsidP="00A02495">
            <w:pPr>
              <w:rPr>
                <w:sz w:val="18"/>
                <w:szCs w:val="18"/>
                <w:lang w:eastAsia="hr-HR"/>
              </w:rPr>
            </w:pPr>
            <w:r w:rsidRPr="00513B34">
              <w:rPr>
                <w:sz w:val="18"/>
                <w:szCs w:val="18"/>
                <w:lang w:eastAsia="hr-HR"/>
              </w:rPr>
              <w:t>Grad Vodnjan</w:t>
            </w:r>
          </w:p>
        </w:tc>
        <w:tc>
          <w:tcPr>
            <w:tcW w:w="1032" w:type="pct"/>
            <w:shd w:val="clear" w:color="auto" w:fill="auto"/>
            <w:noWrap/>
            <w:vAlign w:val="center"/>
          </w:tcPr>
          <w:p w14:paraId="2DA6141A" w14:textId="390A696B" w:rsidR="00512468" w:rsidRPr="00513B34" w:rsidRDefault="0029201F" w:rsidP="00513B34">
            <w:pPr>
              <w:jc w:val="right"/>
              <w:rPr>
                <w:sz w:val="18"/>
                <w:szCs w:val="18"/>
                <w:lang w:eastAsia="hr-HR"/>
              </w:rPr>
            </w:pPr>
            <w:r w:rsidRPr="00513B34">
              <w:rPr>
                <w:sz w:val="18"/>
                <w:szCs w:val="18"/>
                <w:lang w:eastAsia="hr-HR"/>
              </w:rPr>
              <w:t>19.154</w:t>
            </w:r>
          </w:p>
        </w:tc>
        <w:tc>
          <w:tcPr>
            <w:tcW w:w="205" w:type="pct"/>
            <w:shd w:val="clear" w:color="auto" w:fill="auto"/>
            <w:noWrap/>
            <w:vAlign w:val="center"/>
          </w:tcPr>
          <w:p w14:paraId="575DEFE0" w14:textId="77777777" w:rsidR="00512468" w:rsidRPr="00513B34" w:rsidRDefault="00512468" w:rsidP="00513B34">
            <w:pPr>
              <w:jc w:val="right"/>
              <w:rPr>
                <w:sz w:val="18"/>
                <w:szCs w:val="18"/>
                <w:lang w:eastAsia="hr-HR"/>
              </w:rPr>
            </w:pPr>
          </w:p>
        </w:tc>
        <w:tc>
          <w:tcPr>
            <w:tcW w:w="1099" w:type="pct"/>
            <w:shd w:val="clear" w:color="auto" w:fill="auto"/>
            <w:noWrap/>
            <w:vAlign w:val="center"/>
          </w:tcPr>
          <w:p w14:paraId="49C85AB0" w14:textId="432CE3B1" w:rsidR="00512468" w:rsidRPr="00513B34" w:rsidRDefault="0029201F" w:rsidP="00513B34">
            <w:pPr>
              <w:jc w:val="right"/>
              <w:rPr>
                <w:sz w:val="18"/>
                <w:szCs w:val="18"/>
                <w:lang w:eastAsia="hr-HR"/>
              </w:rPr>
            </w:pPr>
            <w:r w:rsidRPr="00513B34">
              <w:rPr>
                <w:sz w:val="18"/>
                <w:szCs w:val="18"/>
                <w:lang w:eastAsia="hr-HR"/>
              </w:rPr>
              <w:t>909.892</w:t>
            </w:r>
          </w:p>
        </w:tc>
        <w:tc>
          <w:tcPr>
            <w:tcW w:w="1025" w:type="pct"/>
            <w:shd w:val="clear" w:color="auto" w:fill="auto"/>
            <w:noWrap/>
            <w:vAlign w:val="center"/>
          </w:tcPr>
          <w:p w14:paraId="264BE483" w14:textId="48EA424D" w:rsidR="00512468" w:rsidRPr="00513B34" w:rsidRDefault="0029201F" w:rsidP="00513B34">
            <w:pPr>
              <w:jc w:val="right"/>
              <w:rPr>
                <w:sz w:val="18"/>
                <w:szCs w:val="18"/>
                <w:lang w:eastAsia="hr-HR"/>
              </w:rPr>
            </w:pPr>
            <w:r w:rsidRPr="00513B34">
              <w:rPr>
                <w:sz w:val="18"/>
                <w:szCs w:val="18"/>
                <w:lang w:eastAsia="hr-HR"/>
              </w:rPr>
              <w:t>929.046</w:t>
            </w:r>
          </w:p>
        </w:tc>
      </w:tr>
      <w:tr w:rsidR="00512468" w:rsidRPr="00513B34" w14:paraId="4BE66D48" w14:textId="77777777" w:rsidTr="00513B34">
        <w:trPr>
          <w:trHeight w:val="284"/>
        </w:trPr>
        <w:tc>
          <w:tcPr>
            <w:tcW w:w="1639" w:type="pct"/>
            <w:shd w:val="clear" w:color="auto" w:fill="auto"/>
            <w:noWrap/>
            <w:vAlign w:val="bottom"/>
            <w:hideMark/>
          </w:tcPr>
          <w:p w14:paraId="784D77B9" w14:textId="77777777" w:rsidR="00512468" w:rsidRPr="00513B34" w:rsidRDefault="00512468" w:rsidP="00A02495">
            <w:pPr>
              <w:rPr>
                <w:sz w:val="18"/>
                <w:szCs w:val="18"/>
                <w:lang w:eastAsia="hr-HR"/>
              </w:rPr>
            </w:pPr>
            <w:r w:rsidRPr="00513B34">
              <w:rPr>
                <w:sz w:val="18"/>
                <w:szCs w:val="18"/>
                <w:lang w:eastAsia="hr-HR"/>
              </w:rPr>
              <w:t xml:space="preserve">Općina Medulin </w:t>
            </w:r>
          </w:p>
          <w:p w14:paraId="4EF6EAD1" w14:textId="77777777" w:rsidR="00512468" w:rsidRPr="00513B34" w:rsidRDefault="00512468" w:rsidP="00A02495">
            <w:pPr>
              <w:rPr>
                <w:sz w:val="18"/>
                <w:szCs w:val="18"/>
                <w:lang w:eastAsia="hr-HR"/>
              </w:rPr>
            </w:pPr>
            <w:r w:rsidRPr="00513B34">
              <w:rPr>
                <w:sz w:val="18"/>
                <w:szCs w:val="18"/>
                <w:lang w:eastAsia="hr-HR"/>
              </w:rPr>
              <w:t>(naselje Pješčana uvala)</w:t>
            </w:r>
          </w:p>
        </w:tc>
        <w:tc>
          <w:tcPr>
            <w:tcW w:w="1032" w:type="pct"/>
            <w:shd w:val="clear" w:color="auto" w:fill="auto"/>
            <w:noWrap/>
            <w:vAlign w:val="center"/>
          </w:tcPr>
          <w:p w14:paraId="719B4271" w14:textId="5B02B358" w:rsidR="00512468" w:rsidRPr="00513B34" w:rsidRDefault="0029201F" w:rsidP="00513B34">
            <w:pPr>
              <w:jc w:val="right"/>
              <w:rPr>
                <w:sz w:val="18"/>
                <w:szCs w:val="18"/>
                <w:lang w:eastAsia="hr-HR"/>
              </w:rPr>
            </w:pPr>
            <w:r w:rsidRPr="00513B34">
              <w:rPr>
                <w:sz w:val="18"/>
                <w:szCs w:val="18"/>
                <w:lang w:eastAsia="hr-HR"/>
              </w:rPr>
              <w:t>4.363</w:t>
            </w:r>
          </w:p>
        </w:tc>
        <w:tc>
          <w:tcPr>
            <w:tcW w:w="205" w:type="pct"/>
            <w:shd w:val="clear" w:color="auto" w:fill="auto"/>
            <w:noWrap/>
            <w:vAlign w:val="center"/>
          </w:tcPr>
          <w:p w14:paraId="6C50E62E" w14:textId="77777777" w:rsidR="00512468" w:rsidRPr="00513B34" w:rsidRDefault="00512468" w:rsidP="00513B34">
            <w:pPr>
              <w:jc w:val="right"/>
              <w:rPr>
                <w:sz w:val="18"/>
                <w:szCs w:val="18"/>
                <w:lang w:eastAsia="hr-HR"/>
              </w:rPr>
            </w:pPr>
          </w:p>
        </w:tc>
        <w:tc>
          <w:tcPr>
            <w:tcW w:w="1099" w:type="pct"/>
            <w:shd w:val="clear" w:color="auto" w:fill="auto"/>
            <w:noWrap/>
            <w:vAlign w:val="center"/>
          </w:tcPr>
          <w:p w14:paraId="769B59BC" w14:textId="05B58CC8" w:rsidR="00512468" w:rsidRPr="00513B34" w:rsidRDefault="0029201F" w:rsidP="00513B34">
            <w:pPr>
              <w:jc w:val="right"/>
              <w:rPr>
                <w:sz w:val="18"/>
                <w:szCs w:val="18"/>
                <w:lang w:eastAsia="hr-HR"/>
              </w:rPr>
            </w:pPr>
            <w:r w:rsidRPr="00513B34">
              <w:rPr>
                <w:sz w:val="18"/>
                <w:szCs w:val="18"/>
                <w:lang w:eastAsia="hr-HR"/>
              </w:rPr>
              <w:t>227.705</w:t>
            </w:r>
          </w:p>
        </w:tc>
        <w:tc>
          <w:tcPr>
            <w:tcW w:w="1025" w:type="pct"/>
            <w:shd w:val="clear" w:color="auto" w:fill="auto"/>
            <w:noWrap/>
            <w:vAlign w:val="center"/>
          </w:tcPr>
          <w:p w14:paraId="40CE7835" w14:textId="216E54C7" w:rsidR="00512468" w:rsidRPr="00513B34" w:rsidRDefault="0029201F" w:rsidP="00513B34">
            <w:pPr>
              <w:jc w:val="right"/>
              <w:rPr>
                <w:sz w:val="18"/>
                <w:szCs w:val="18"/>
                <w:lang w:eastAsia="hr-HR"/>
              </w:rPr>
            </w:pPr>
            <w:r w:rsidRPr="00513B34">
              <w:rPr>
                <w:sz w:val="18"/>
                <w:szCs w:val="18"/>
                <w:lang w:eastAsia="hr-HR"/>
              </w:rPr>
              <w:t>232.068</w:t>
            </w:r>
          </w:p>
        </w:tc>
      </w:tr>
      <w:tr w:rsidR="00512468" w:rsidRPr="00513B34" w14:paraId="460C16E2" w14:textId="77777777" w:rsidTr="00513B34">
        <w:trPr>
          <w:trHeight w:val="284"/>
        </w:trPr>
        <w:tc>
          <w:tcPr>
            <w:tcW w:w="1639" w:type="pct"/>
            <w:shd w:val="clear" w:color="auto" w:fill="auto"/>
            <w:noWrap/>
            <w:vAlign w:val="bottom"/>
            <w:hideMark/>
          </w:tcPr>
          <w:p w14:paraId="61FB4FCD" w14:textId="77777777" w:rsidR="00512468" w:rsidRPr="00513B34" w:rsidRDefault="00512468" w:rsidP="00A02495">
            <w:pPr>
              <w:rPr>
                <w:sz w:val="18"/>
                <w:szCs w:val="18"/>
                <w:lang w:eastAsia="hr-HR"/>
              </w:rPr>
            </w:pPr>
            <w:r w:rsidRPr="00513B34">
              <w:rPr>
                <w:sz w:val="18"/>
                <w:szCs w:val="18"/>
                <w:lang w:eastAsia="hr-HR"/>
              </w:rPr>
              <w:t>Općina Fažana</w:t>
            </w:r>
          </w:p>
        </w:tc>
        <w:tc>
          <w:tcPr>
            <w:tcW w:w="1032" w:type="pct"/>
            <w:shd w:val="clear" w:color="auto" w:fill="auto"/>
            <w:noWrap/>
            <w:vAlign w:val="center"/>
          </w:tcPr>
          <w:p w14:paraId="013153DA" w14:textId="49661322" w:rsidR="00512468" w:rsidRPr="00513B34" w:rsidRDefault="0029201F" w:rsidP="00513B34">
            <w:pPr>
              <w:jc w:val="right"/>
              <w:rPr>
                <w:sz w:val="18"/>
                <w:szCs w:val="18"/>
                <w:lang w:eastAsia="hr-HR"/>
              </w:rPr>
            </w:pPr>
            <w:r w:rsidRPr="00513B34">
              <w:rPr>
                <w:sz w:val="18"/>
                <w:szCs w:val="18"/>
                <w:lang w:eastAsia="hr-HR"/>
              </w:rPr>
              <w:t>12.608</w:t>
            </w:r>
          </w:p>
        </w:tc>
        <w:tc>
          <w:tcPr>
            <w:tcW w:w="205" w:type="pct"/>
            <w:shd w:val="clear" w:color="auto" w:fill="auto"/>
            <w:noWrap/>
            <w:vAlign w:val="center"/>
          </w:tcPr>
          <w:p w14:paraId="5C6A86A5" w14:textId="77777777" w:rsidR="00512468" w:rsidRPr="00513B34" w:rsidRDefault="00512468" w:rsidP="00513B34">
            <w:pPr>
              <w:jc w:val="right"/>
              <w:rPr>
                <w:sz w:val="18"/>
                <w:szCs w:val="18"/>
                <w:lang w:eastAsia="hr-HR"/>
              </w:rPr>
            </w:pPr>
          </w:p>
        </w:tc>
        <w:tc>
          <w:tcPr>
            <w:tcW w:w="1099" w:type="pct"/>
            <w:shd w:val="clear" w:color="auto" w:fill="auto"/>
            <w:noWrap/>
            <w:vAlign w:val="center"/>
          </w:tcPr>
          <w:p w14:paraId="7DBC4779" w14:textId="0F7AC6A8" w:rsidR="00512468" w:rsidRPr="00513B34" w:rsidRDefault="0029201F" w:rsidP="00513B34">
            <w:pPr>
              <w:jc w:val="right"/>
              <w:rPr>
                <w:sz w:val="18"/>
                <w:szCs w:val="18"/>
                <w:lang w:eastAsia="hr-HR"/>
              </w:rPr>
            </w:pPr>
            <w:r w:rsidRPr="00513B34">
              <w:rPr>
                <w:sz w:val="18"/>
                <w:szCs w:val="18"/>
                <w:lang w:eastAsia="hr-HR"/>
              </w:rPr>
              <w:t>824.268</w:t>
            </w:r>
          </w:p>
        </w:tc>
        <w:tc>
          <w:tcPr>
            <w:tcW w:w="1025" w:type="pct"/>
            <w:shd w:val="clear" w:color="auto" w:fill="auto"/>
            <w:noWrap/>
            <w:vAlign w:val="center"/>
          </w:tcPr>
          <w:p w14:paraId="3B0EE8F7" w14:textId="0CD1DD53" w:rsidR="00512468" w:rsidRPr="00513B34" w:rsidRDefault="0029201F" w:rsidP="00513B34">
            <w:pPr>
              <w:jc w:val="right"/>
              <w:rPr>
                <w:sz w:val="18"/>
                <w:szCs w:val="18"/>
                <w:lang w:eastAsia="hr-HR"/>
              </w:rPr>
            </w:pPr>
            <w:r w:rsidRPr="00513B34">
              <w:rPr>
                <w:sz w:val="18"/>
                <w:szCs w:val="18"/>
                <w:lang w:eastAsia="hr-HR"/>
              </w:rPr>
              <w:t>836.876</w:t>
            </w:r>
          </w:p>
        </w:tc>
      </w:tr>
      <w:tr w:rsidR="00512468" w:rsidRPr="00513B34" w14:paraId="0283151B" w14:textId="77777777" w:rsidTr="00513B34">
        <w:trPr>
          <w:trHeight w:val="284"/>
        </w:trPr>
        <w:tc>
          <w:tcPr>
            <w:tcW w:w="1639" w:type="pct"/>
            <w:shd w:val="clear" w:color="auto" w:fill="auto"/>
            <w:noWrap/>
            <w:vAlign w:val="bottom"/>
          </w:tcPr>
          <w:p w14:paraId="58D6BD0F" w14:textId="77777777" w:rsidR="00512468" w:rsidRPr="00513B34" w:rsidRDefault="00512468" w:rsidP="00A02495">
            <w:pPr>
              <w:rPr>
                <w:sz w:val="18"/>
                <w:szCs w:val="18"/>
                <w:lang w:eastAsia="hr-HR"/>
              </w:rPr>
            </w:pPr>
            <w:r w:rsidRPr="00513B34">
              <w:rPr>
                <w:sz w:val="18"/>
                <w:szCs w:val="18"/>
                <w:lang w:eastAsia="hr-HR"/>
              </w:rPr>
              <w:t xml:space="preserve">Općina Ližnjan </w:t>
            </w:r>
          </w:p>
        </w:tc>
        <w:tc>
          <w:tcPr>
            <w:tcW w:w="1032" w:type="pct"/>
            <w:shd w:val="clear" w:color="auto" w:fill="auto"/>
            <w:noWrap/>
            <w:vAlign w:val="center"/>
          </w:tcPr>
          <w:p w14:paraId="411FC3F0" w14:textId="77777777" w:rsidR="00512468" w:rsidRPr="00513B34" w:rsidRDefault="00512468" w:rsidP="00513B34">
            <w:pPr>
              <w:jc w:val="right"/>
              <w:rPr>
                <w:sz w:val="18"/>
                <w:szCs w:val="18"/>
                <w:lang w:eastAsia="hr-HR"/>
              </w:rPr>
            </w:pPr>
          </w:p>
        </w:tc>
        <w:tc>
          <w:tcPr>
            <w:tcW w:w="205" w:type="pct"/>
            <w:shd w:val="clear" w:color="auto" w:fill="auto"/>
            <w:noWrap/>
            <w:vAlign w:val="center"/>
          </w:tcPr>
          <w:p w14:paraId="7AAC9FB5" w14:textId="77777777" w:rsidR="00512468" w:rsidRPr="00513B34" w:rsidRDefault="00512468" w:rsidP="00513B34">
            <w:pPr>
              <w:jc w:val="right"/>
              <w:rPr>
                <w:sz w:val="18"/>
                <w:szCs w:val="18"/>
                <w:lang w:eastAsia="hr-HR"/>
              </w:rPr>
            </w:pPr>
          </w:p>
        </w:tc>
        <w:tc>
          <w:tcPr>
            <w:tcW w:w="1099" w:type="pct"/>
            <w:shd w:val="clear" w:color="auto" w:fill="auto"/>
            <w:noWrap/>
            <w:vAlign w:val="center"/>
          </w:tcPr>
          <w:p w14:paraId="4B77D492" w14:textId="77777777" w:rsidR="00512468" w:rsidRPr="00513B34" w:rsidRDefault="00512468" w:rsidP="00513B34">
            <w:pPr>
              <w:jc w:val="right"/>
              <w:rPr>
                <w:sz w:val="18"/>
                <w:szCs w:val="18"/>
                <w:lang w:eastAsia="hr-HR"/>
              </w:rPr>
            </w:pPr>
          </w:p>
        </w:tc>
        <w:tc>
          <w:tcPr>
            <w:tcW w:w="1025" w:type="pct"/>
            <w:shd w:val="clear" w:color="auto" w:fill="auto"/>
            <w:noWrap/>
            <w:vAlign w:val="center"/>
          </w:tcPr>
          <w:p w14:paraId="4F22BB95" w14:textId="77777777" w:rsidR="00512468" w:rsidRPr="00513B34" w:rsidRDefault="00512468" w:rsidP="00513B34">
            <w:pPr>
              <w:jc w:val="right"/>
              <w:rPr>
                <w:sz w:val="18"/>
                <w:szCs w:val="18"/>
                <w:lang w:eastAsia="hr-HR"/>
              </w:rPr>
            </w:pPr>
          </w:p>
        </w:tc>
      </w:tr>
      <w:tr w:rsidR="00512468" w:rsidRPr="00513B34" w14:paraId="1B55CA71" w14:textId="77777777" w:rsidTr="00513B34">
        <w:trPr>
          <w:trHeight w:val="284"/>
        </w:trPr>
        <w:tc>
          <w:tcPr>
            <w:tcW w:w="1639" w:type="pct"/>
            <w:tcBorders>
              <w:bottom w:val="single" w:sz="8" w:space="0" w:color="404040" w:themeColor="text1" w:themeTint="BF"/>
            </w:tcBorders>
            <w:shd w:val="clear" w:color="auto" w:fill="auto"/>
            <w:noWrap/>
            <w:vAlign w:val="bottom"/>
          </w:tcPr>
          <w:p w14:paraId="79CD5557" w14:textId="77777777" w:rsidR="00512468" w:rsidRPr="00513B34" w:rsidRDefault="00512468" w:rsidP="00A02495">
            <w:pPr>
              <w:rPr>
                <w:sz w:val="18"/>
                <w:szCs w:val="18"/>
                <w:lang w:eastAsia="hr-HR"/>
              </w:rPr>
            </w:pPr>
            <w:r w:rsidRPr="00513B34">
              <w:rPr>
                <w:sz w:val="18"/>
                <w:szCs w:val="18"/>
                <w:lang w:eastAsia="hr-HR"/>
              </w:rPr>
              <w:t>(naselje Jadreški)</w:t>
            </w:r>
          </w:p>
        </w:tc>
        <w:tc>
          <w:tcPr>
            <w:tcW w:w="1032" w:type="pct"/>
            <w:tcBorders>
              <w:bottom w:val="single" w:sz="8" w:space="0" w:color="404040" w:themeColor="text1" w:themeTint="BF"/>
            </w:tcBorders>
            <w:shd w:val="clear" w:color="auto" w:fill="auto"/>
            <w:noWrap/>
            <w:vAlign w:val="center"/>
          </w:tcPr>
          <w:p w14:paraId="554FF513" w14:textId="284F689A" w:rsidR="00512468" w:rsidRPr="00513B34" w:rsidRDefault="0029201F" w:rsidP="00513B34">
            <w:pPr>
              <w:jc w:val="right"/>
              <w:rPr>
                <w:sz w:val="18"/>
                <w:szCs w:val="18"/>
                <w:lang w:eastAsia="hr-HR"/>
              </w:rPr>
            </w:pPr>
            <w:r w:rsidRPr="00513B34">
              <w:rPr>
                <w:sz w:val="18"/>
                <w:szCs w:val="18"/>
                <w:lang w:eastAsia="hr-HR"/>
              </w:rPr>
              <w:t>1.334</w:t>
            </w:r>
          </w:p>
        </w:tc>
        <w:tc>
          <w:tcPr>
            <w:tcW w:w="205" w:type="pct"/>
            <w:tcBorders>
              <w:bottom w:val="single" w:sz="8" w:space="0" w:color="404040" w:themeColor="text1" w:themeTint="BF"/>
            </w:tcBorders>
            <w:shd w:val="clear" w:color="auto" w:fill="auto"/>
            <w:noWrap/>
            <w:vAlign w:val="center"/>
          </w:tcPr>
          <w:p w14:paraId="7779BE3A" w14:textId="77777777" w:rsidR="00512468" w:rsidRPr="00513B34" w:rsidRDefault="00512468" w:rsidP="00513B34">
            <w:pPr>
              <w:jc w:val="right"/>
              <w:rPr>
                <w:sz w:val="18"/>
                <w:szCs w:val="18"/>
                <w:lang w:eastAsia="hr-HR"/>
              </w:rPr>
            </w:pPr>
          </w:p>
        </w:tc>
        <w:tc>
          <w:tcPr>
            <w:tcW w:w="1099" w:type="pct"/>
            <w:tcBorders>
              <w:bottom w:val="single" w:sz="8" w:space="0" w:color="404040" w:themeColor="text1" w:themeTint="BF"/>
            </w:tcBorders>
            <w:shd w:val="clear" w:color="auto" w:fill="auto"/>
            <w:noWrap/>
            <w:vAlign w:val="center"/>
          </w:tcPr>
          <w:p w14:paraId="1483BF98" w14:textId="1CB97ACD" w:rsidR="00512468" w:rsidRPr="00513B34" w:rsidRDefault="0029201F" w:rsidP="00513B34">
            <w:pPr>
              <w:jc w:val="right"/>
              <w:rPr>
                <w:sz w:val="18"/>
                <w:szCs w:val="18"/>
                <w:lang w:eastAsia="hr-HR"/>
              </w:rPr>
            </w:pPr>
            <w:r w:rsidRPr="00513B34">
              <w:rPr>
                <w:sz w:val="18"/>
                <w:szCs w:val="18"/>
                <w:lang w:eastAsia="hr-HR"/>
              </w:rPr>
              <w:t>53.347</w:t>
            </w:r>
          </w:p>
        </w:tc>
        <w:tc>
          <w:tcPr>
            <w:tcW w:w="1025" w:type="pct"/>
            <w:tcBorders>
              <w:bottom w:val="single" w:sz="8" w:space="0" w:color="404040" w:themeColor="text1" w:themeTint="BF"/>
            </w:tcBorders>
            <w:shd w:val="clear" w:color="auto" w:fill="auto"/>
            <w:noWrap/>
            <w:vAlign w:val="center"/>
          </w:tcPr>
          <w:p w14:paraId="1D59DBE6" w14:textId="44EE481A" w:rsidR="00512468" w:rsidRPr="00513B34" w:rsidRDefault="0029201F" w:rsidP="00513B34">
            <w:pPr>
              <w:jc w:val="right"/>
              <w:rPr>
                <w:sz w:val="18"/>
                <w:szCs w:val="18"/>
                <w:lang w:eastAsia="hr-HR"/>
              </w:rPr>
            </w:pPr>
            <w:r w:rsidRPr="00513B34">
              <w:rPr>
                <w:sz w:val="18"/>
                <w:szCs w:val="18"/>
                <w:lang w:eastAsia="hr-HR"/>
              </w:rPr>
              <w:t>54.681</w:t>
            </w:r>
          </w:p>
        </w:tc>
      </w:tr>
      <w:tr w:rsidR="00512468" w:rsidRPr="00513B34" w14:paraId="4F4114DA" w14:textId="77777777" w:rsidTr="00513B34">
        <w:trPr>
          <w:trHeight w:val="284"/>
        </w:trPr>
        <w:tc>
          <w:tcPr>
            <w:tcW w:w="1639" w:type="pct"/>
            <w:tcBorders>
              <w:top w:val="single" w:sz="8" w:space="0" w:color="404040" w:themeColor="text1" w:themeTint="BF"/>
              <w:bottom w:val="single" w:sz="8" w:space="0" w:color="404040" w:themeColor="text1" w:themeTint="BF"/>
            </w:tcBorders>
            <w:shd w:val="clear" w:color="auto" w:fill="auto"/>
            <w:noWrap/>
            <w:vAlign w:val="bottom"/>
            <w:hideMark/>
          </w:tcPr>
          <w:p w14:paraId="45441A41" w14:textId="417F2439" w:rsidR="00512468" w:rsidRPr="00513B34" w:rsidRDefault="00512468" w:rsidP="00A02495">
            <w:pPr>
              <w:rPr>
                <w:b/>
                <w:bCs/>
                <w:sz w:val="18"/>
                <w:szCs w:val="18"/>
                <w:lang w:eastAsia="hr-HR"/>
              </w:rPr>
            </w:pPr>
            <w:r w:rsidRPr="00513B34">
              <w:rPr>
                <w:b/>
                <w:bCs/>
                <w:sz w:val="18"/>
                <w:szCs w:val="18"/>
                <w:lang w:eastAsia="hr-HR"/>
              </w:rPr>
              <w:t> </w:t>
            </w:r>
            <w:r w:rsidR="00D54297" w:rsidRPr="00513B34">
              <w:rPr>
                <w:b/>
                <w:bCs/>
                <w:sz w:val="18"/>
                <w:szCs w:val="18"/>
                <w:lang w:eastAsia="hr-HR"/>
              </w:rPr>
              <w:t>Ukupno</w:t>
            </w:r>
          </w:p>
        </w:tc>
        <w:tc>
          <w:tcPr>
            <w:tcW w:w="1032" w:type="pct"/>
            <w:tcBorders>
              <w:top w:val="single" w:sz="8" w:space="0" w:color="404040" w:themeColor="text1" w:themeTint="BF"/>
              <w:bottom w:val="single" w:sz="8" w:space="0" w:color="404040" w:themeColor="text1" w:themeTint="BF"/>
            </w:tcBorders>
            <w:shd w:val="clear" w:color="auto" w:fill="auto"/>
            <w:noWrap/>
            <w:vAlign w:val="center"/>
          </w:tcPr>
          <w:p w14:paraId="60B01B35" w14:textId="0006FCCF" w:rsidR="00512468" w:rsidRPr="00513B34" w:rsidRDefault="0029201F" w:rsidP="00513B34">
            <w:pPr>
              <w:jc w:val="right"/>
              <w:rPr>
                <w:b/>
                <w:bCs/>
                <w:sz w:val="18"/>
                <w:szCs w:val="18"/>
                <w:lang w:eastAsia="hr-HR"/>
              </w:rPr>
            </w:pPr>
            <w:r w:rsidRPr="00513B34">
              <w:rPr>
                <w:b/>
                <w:bCs/>
                <w:sz w:val="18"/>
                <w:szCs w:val="18"/>
                <w:lang w:eastAsia="hr-HR"/>
              </w:rPr>
              <w:t>280.139</w:t>
            </w:r>
          </w:p>
        </w:tc>
        <w:tc>
          <w:tcPr>
            <w:tcW w:w="205" w:type="pct"/>
            <w:tcBorders>
              <w:top w:val="single" w:sz="8" w:space="0" w:color="404040" w:themeColor="text1" w:themeTint="BF"/>
              <w:bottom w:val="single" w:sz="8" w:space="0" w:color="404040" w:themeColor="text1" w:themeTint="BF"/>
            </w:tcBorders>
            <w:shd w:val="clear" w:color="auto" w:fill="auto"/>
            <w:noWrap/>
            <w:vAlign w:val="center"/>
          </w:tcPr>
          <w:p w14:paraId="5F10BA29" w14:textId="262E9190" w:rsidR="00512468" w:rsidRPr="00513B34" w:rsidRDefault="00512468" w:rsidP="00513B34">
            <w:pPr>
              <w:jc w:val="right"/>
              <w:rPr>
                <w:b/>
                <w:bCs/>
                <w:sz w:val="18"/>
                <w:szCs w:val="18"/>
                <w:lang w:eastAsia="hr-HR"/>
              </w:rPr>
            </w:pPr>
          </w:p>
        </w:tc>
        <w:tc>
          <w:tcPr>
            <w:tcW w:w="1099" w:type="pct"/>
            <w:tcBorders>
              <w:top w:val="single" w:sz="8" w:space="0" w:color="404040" w:themeColor="text1" w:themeTint="BF"/>
              <w:bottom w:val="single" w:sz="8" w:space="0" w:color="404040" w:themeColor="text1" w:themeTint="BF"/>
            </w:tcBorders>
            <w:shd w:val="clear" w:color="auto" w:fill="auto"/>
            <w:noWrap/>
            <w:vAlign w:val="center"/>
          </w:tcPr>
          <w:p w14:paraId="1FC2A50B" w14:textId="33749A87" w:rsidR="00512468" w:rsidRPr="00513B34" w:rsidRDefault="0029201F" w:rsidP="00513B34">
            <w:pPr>
              <w:jc w:val="right"/>
              <w:rPr>
                <w:b/>
                <w:bCs/>
                <w:sz w:val="18"/>
                <w:szCs w:val="18"/>
                <w:lang w:eastAsia="hr-HR"/>
              </w:rPr>
            </w:pPr>
            <w:r w:rsidRPr="00513B34">
              <w:rPr>
                <w:b/>
                <w:bCs/>
                <w:sz w:val="18"/>
                <w:szCs w:val="18"/>
                <w:lang w:eastAsia="hr-HR"/>
              </w:rPr>
              <w:t>7.505.690</w:t>
            </w:r>
          </w:p>
        </w:tc>
        <w:tc>
          <w:tcPr>
            <w:tcW w:w="1025" w:type="pct"/>
            <w:tcBorders>
              <w:top w:val="single" w:sz="8" w:space="0" w:color="404040" w:themeColor="text1" w:themeTint="BF"/>
              <w:bottom w:val="single" w:sz="8" w:space="0" w:color="404040" w:themeColor="text1" w:themeTint="BF"/>
            </w:tcBorders>
            <w:shd w:val="clear" w:color="auto" w:fill="auto"/>
            <w:noWrap/>
            <w:vAlign w:val="center"/>
          </w:tcPr>
          <w:p w14:paraId="09424AED" w14:textId="648BA2F3" w:rsidR="00512468" w:rsidRPr="00513B34" w:rsidRDefault="0029201F" w:rsidP="00513B34">
            <w:pPr>
              <w:jc w:val="right"/>
              <w:rPr>
                <w:b/>
                <w:bCs/>
                <w:sz w:val="18"/>
                <w:szCs w:val="18"/>
                <w:lang w:eastAsia="hr-HR"/>
              </w:rPr>
            </w:pPr>
            <w:r w:rsidRPr="00513B34">
              <w:rPr>
                <w:b/>
                <w:bCs/>
                <w:sz w:val="18"/>
                <w:szCs w:val="18"/>
                <w:lang w:eastAsia="hr-HR"/>
              </w:rPr>
              <w:t>7.785.829</w:t>
            </w:r>
          </w:p>
        </w:tc>
      </w:tr>
    </w:tbl>
    <w:p w14:paraId="0EC9D63A" w14:textId="77777777" w:rsidR="00512468" w:rsidRPr="00D54297" w:rsidRDefault="00512468" w:rsidP="00A02495"/>
    <w:p w14:paraId="66CED6B2" w14:textId="77777777" w:rsidR="002B388A" w:rsidRPr="00EE4D1B" w:rsidRDefault="002B388A" w:rsidP="00E807B3">
      <w:pPr>
        <w:pStyle w:val="Standard"/>
        <w:spacing w:after="0"/>
        <w:jc w:val="both"/>
        <w:rPr>
          <w:rFonts w:ascii="Cambria" w:hAnsi="Cambria" w:cs="Arial"/>
          <w:color w:val="auto"/>
        </w:rPr>
      </w:pPr>
    </w:p>
    <w:tbl>
      <w:tblPr>
        <w:tblW w:w="5000" w:type="pct"/>
        <w:tblLayout w:type="fixed"/>
        <w:tblCellMar>
          <w:left w:w="10" w:type="dxa"/>
          <w:right w:w="10" w:type="dxa"/>
        </w:tblCellMar>
        <w:tblLook w:val="04A0" w:firstRow="1" w:lastRow="0" w:firstColumn="1" w:lastColumn="0" w:noHBand="0" w:noVBand="1"/>
      </w:tblPr>
      <w:tblGrid>
        <w:gridCol w:w="9072"/>
      </w:tblGrid>
      <w:tr w:rsidR="00E807B3" w14:paraId="6F2AFEDB" w14:textId="77777777" w:rsidTr="00625C2B">
        <w:trPr>
          <w:trHeight w:val="397"/>
        </w:trPr>
        <w:tc>
          <w:tcPr>
            <w:tcW w:w="9288" w:type="dxa"/>
            <w:shd w:val="clear" w:color="auto" w:fill="E7E7FF"/>
            <w:tcMar>
              <w:top w:w="0" w:type="dxa"/>
              <w:left w:w="108" w:type="dxa"/>
              <w:bottom w:w="0" w:type="dxa"/>
              <w:right w:w="108" w:type="dxa"/>
            </w:tcMar>
            <w:vAlign w:val="center"/>
          </w:tcPr>
          <w:p w14:paraId="280F548A" w14:textId="77777777" w:rsidR="00E807B3" w:rsidRDefault="00E807B3" w:rsidP="00E807B3">
            <w:pPr>
              <w:pStyle w:val="Standard"/>
              <w:spacing w:after="0"/>
              <w:rPr>
                <w:rFonts w:ascii="Cambria" w:hAnsi="Cambria" w:cs="Arial"/>
                <w:b/>
                <w:color w:val="262626"/>
                <w:lang w:eastAsia="en-US"/>
              </w:rPr>
            </w:pPr>
            <w:r>
              <w:rPr>
                <w:rFonts w:ascii="Cambria" w:hAnsi="Cambria" w:cs="Arial"/>
                <w:b/>
                <w:color w:val="262626"/>
                <w:lang w:eastAsia="en-US"/>
              </w:rPr>
              <w:t>Pasivna vremenska razgraničenja</w:t>
            </w:r>
          </w:p>
        </w:tc>
      </w:tr>
    </w:tbl>
    <w:p w14:paraId="5F8017C2" w14:textId="77777777" w:rsidR="00E807B3" w:rsidRPr="007229CE" w:rsidRDefault="00E807B3" w:rsidP="00A02495"/>
    <w:p w14:paraId="501C6596" w14:textId="275EF570" w:rsidR="002315DD" w:rsidRDefault="002315DD" w:rsidP="00A02495">
      <w:r w:rsidRPr="001125DA">
        <w:t>Najveći udio u pasivi (</w:t>
      </w:r>
      <w:r w:rsidR="00D54297" w:rsidRPr="001125DA">
        <w:t>6</w:t>
      </w:r>
      <w:r w:rsidR="00D13CFD">
        <w:t>7</w:t>
      </w:r>
      <w:r w:rsidRPr="001125DA">
        <w:t>%) bilježi pozicija odgođeno plaćanje troškova i prihod budućeg razdoblja, odnosno pasivna</w:t>
      </w:r>
      <w:r w:rsidR="00C3054D" w:rsidRPr="001125DA">
        <w:t xml:space="preserve"> vremenska razgraničenja.</w:t>
      </w:r>
      <w:r w:rsidRPr="001125DA">
        <w:t xml:space="preserve"> Ista su evidentirana u iznosu od </w:t>
      </w:r>
      <w:r w:rsidR="001125DA" w:rsidRPr="001125DA">
        <w:t>74.801.749</w:t>
      </w:r>
      <w:r w:rsidR="00D54297" w:rsidRPr="001125DA">
        <w:t xml:space="preserve"> eura</w:t>
      </w:r>
      <w:r w:rsidRPr="001125DA">
        <w:t xml:space="preserve"> što je za </w:t>
      </w:r>
      <w:r w:rsidR="001125DA" w:rsidRPr="001125DA">
        <w:t>7.071.528</w:t>
      </w:r>
      <w:r w:rsidR="00D54297" w:rsidRPr="001125DA">
        <w:t xml:space="preserve"> eura</w:t>
      </w:r>
      <w:r w:rsidRPr="001125DA">
        <w:t xml:space="preserve"> </w:t>
      </w:r>
      <w:r w:rsidR="007D0808" w:rsidRPr="001125DA">
        <w:t xml:space="preserve">(ili </w:t>
      </w:r>
      <w:r w:rsidR="00585A63" w:rsidRPr="001125DA">
        <w:t>1</w:t>
      </w:r>
      <w:r w:rsidR="001125DA" w:rsidRPr="001125DA">
        <w:t>0</w:t>
      </w:r>
      <w:r w:rsidR="007D0808" w:rsidRPr="001125DA">
        <w:t xml:space="preserve">%) </w:t>
      </w:r>
      <w:r w:rsidR="00B53980" w:rsidRPr="001125DA">
        <w:t>više</w:t>
      </w:r>
      <w:r w:rsidRPr="001125DA">
        <w:t xml:space="preserve"> u odnosu na posljednji dan </w:t>
      </w:r>
      <w:r w:rsidR="00DD28E3">
        <w:t>prethodne godine.</w:t>
      </w:r>
    </w:p>
    <w:p w14:paraId="6C720BD9" w14:textId="77777777" w:rsidR="00D54297" w:rsidRDefault="00D54297" w:rsidP="00A02495"/>
    <w:tbl>
      <w:tblPr>
        <w:tblW w:w="6578" w:type="dxa"/>
        <w:tblInd w:w="93" w:type="dxa"/>
        <w:tblBorders>
          <w:top w:val="single" w:sz="4" w:space="0" w:color="BFBFBF" w:themeColor="background1" w:themeShade="BF"/>
          <w:bottom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4660"/>
        <w:gridCol w:w="317"/>
        <w:gridCol w:w="1281"/>
        <w:gridCol w:w="320"/>
      </w:tblGrid>
      <w:tr w:rsidR="00112F25" w:rsidRPr="00513B34" w14:paraId="0DC1A278" w14:textId="77777777" w:rsidTr="006A729E">
        <w:trPr>
          <w:trHeight w:val="499"/>
        </w:trPr>
        <w:tc>
          <w:tcPr>
            <w:tcW w:w="4977" w:type="dxa"/>
            <w:gridSpan w:val="2"/>
            <w:tcBorders>
              <w:top w:val="single" w:sz="8" w:space="0" w:color="404040" w:themeColor="text1" w:themeTint="BF"/>
            </w:tcBorders>
            <w:shd w:val="clear" w:color="auto" w:fill="BFBFBF" w:themeFill="background1" w:themeFillShade="BF"/>
            <w:noWrap/>
            <w:vAlign w:val="center"/>
          </w:tcPr>
          <w:p w14:paraId="3DFF38A1" w14:textId="74C74776" w:rsidR="00112F25" w:rsidRPr="00513B34" w:rsidRDefault="006A729E" w:rsidP="006A729E">
            <w:pPr>
              <w:jc w:val="left"/>
              <w:rPr>
                <w:b/>
                <w:bCs/>
                <w:sz w:val="18"/>
                <w:szCs w:val="18"/>
                <w:lang w:eastAsia="hr-HR"/>
              </w:rPr>
            </w:pPr>
            <w:r>
              <w:rPr>
                <w:b/>
                <w:bCs/>
                <w:sz w:val="18"/>
                <w:szCs w:val="18"/>
                <w:lang w:eastAsia="hr-HR"/>
              </w:rPr>
              <w:t>Pasivna vremenska razgraničenja</w:t>
            </w:r>
          </w:p>
        </w:tc>
        <w:tc>
          <w:tcPr>
            <w:tcW w:w="1281" w:type="dxa"/>
            <w:tcBorders>
              <w:top w:val="single" w:sz="8" w:space="0" w:color="404040" w:themeColor="text1" w:themeTint="BF"/>
            </w:tcBorders>
            <w:shd w:val="clear" w:color="auto" w:fill="BFBFBF" w:themeFill="background1" w:themeFillShade="BF"/>
            <w:noWrap/>
            <w:vAlign w:val="center"/>
          </w:tcPr>
          <w:p w14:paraId="032C4811" w14:textId="31770B56" w:rsidR="00112F25" w:rsidRPr="00513B34" w:rsidRDefault="00112F25" w:rsidP="00513B34">
            <w:pPr>
              <w:jc w:val="center"/>
              <w:rPr>
                <w:b/>
                <w:bCs/>
                <w:sz w:val="18"/>
                <w:szCs w:val="18"/>
                <w:lang w:eastAsia="hr-HR"/>
              </w:rPr>
            </w:pPr>
            <w:r w:rsidRPr="00513B34">
              <w:rPr>
                <w:b/>
                <w:bCs/>
                <w:sz w:val="18"/>
                <w:szCs w:val="18"/>
                <w:lang w:eastAsia="hr-HR"/>
              </w:rPr>
              <w:t>31.12.2024.</w:t>
            </w:r>
          </w:p>
        </w:tc>
        <w:tc>
          <w:tcPr>
            <w:tcW w:w="320" w:type="dxa"/>
            <w:tcBorders>
              <w:top w:val="single" w:sz="8" w:space="0" w:color="404040" w:themeColor="text1" w:themeTint="BF"/>
            </w:tcBorders>
            <w:shd w:val="clear" w:color="auto" w:fill="BFBFBF" w:themeFill="background1" w:themeFillShade="BF"/>
            <w:noWrap/>
            <w:vAlign w:val="center"/>
          </w:tcPr>
          <w:p w14:paraId="54D563E7" w14:textId="3DAB2457" w:rsidR="00112F25" w:rsidRPr="00513B34" w:rsidRDefault="00112F25" w:rsidP="00513B34">
            <w:pPr>
              <w:jc w:val="center"/>
              <w:rPr>
                <w:b/>
                <w:bCs/>
                <w:sz w:val="18"/>
                <w:szCs w:val="18"/>
                <w:lang w:eastAsia="hr-HR"/>
              </w:rPr>
            </w:pPr>
          </w:p>
        </w:tc>
      </w:tr>
      <w:tr w:rsidR="00112F25" w:rsidRPr="00513B34" w14:paraId="35CEFBF5" w14:textId="77777777" w:rsidTr="006A729E">
        <w:trPr>
          <w:trHeight w:val="283"/>
        </w:trPr>
        <w:tc>
          <w:tcPr>
            <w:tcW w:w="4977" w:type="dxa"/>
            <w:gridSpan w:val="2"/>
            <w:tcBorders>
              <w:top w:val="single" w:sz="8" w:space="0" w:color="404040" w:themeColor="text1" w:themeTint="BF"/>
            </w:tcBorders>
            <w:shd w:val="clear" w:color="auto" w:fill="auto"/>
            <w:noWrap/>
            <w:vAlign w:val="center"/>
            <w:hideMark/>
          </w:tcPr>
          <w:p w14:paraId="466E128E" w14:textId="77777777" w:rsidR="00112F25" w:rsidRPr="00513B34" w:rsidRDefault="00112F25" w:rsidP="00513B34">
            <w:pPr>
              <w:jc w:val="left"/>
              <w:rPr>
                <w:sz w:val="18"/>
                <w:szCs w:val="18"/>
                <w:lang w:eastAsia="hr-HR"/>
              </w:rPr>
            </w:pPr>
            <w:r w:rsidRPr="00513B34">
              <w:rPr>
                <w:sz w:val="18"/>
                <w:szCs w:val="18"/>
                <w:lang w:eastAsia="hr-HR"/>
              </w:rPr>
              <w:t xml:space="preserve">Namjenske dotacije za vodoopskrbu </w:t>
            </w:r>
          </w:p>
        </w:tc>
        <w:tc>
          <w:tcPr>
            <w:tcW w:w="1281" w:type="dxa"/>
            <w:tcBorders>
              <w:top w:val="single" w:sz="8" w:space="0" w:color="404040" w:themeColor="text1" w:themeTint="BF"/>
            </w:tcBorders>
            <w:shd w:val="clear" w:color="auto" w:fill="auto"/>
            <w:noWrap/>
            <w:vAlign w:val="center"/>
          </w:tcPr>
          <w:p w14:paraId="07CAB6F8" w14:textId="0855908A" w:rsidR="00112F25" w:rsidRPr="00513B34" w:rsidRDefault="00112F25" w:rsidP="00513B34">
            <w:pPr>
              <w:jc w:val="right"/>
              <w:rPr>
                <w:sz w:val="18"/>
                <w:szCs w:val="18"/>
                <w:lang w:eastAsia="hr-HR"/>
              </w:rPr>
            </w:pPr>
            <w:r>
              <w:rPr>
                <w:sz w:val="18"/>
                <w:szCs w:val="18"/>
                <w:lang w:eastAsia="hr-HR"/>
              </w:rPr>
              <w:t>27.154.650</w:t>
            </w:r>
          </w:p>
        </w:tc>
        <w:tc>
          <w:tcPr>
            <w:tcW w:w="320" w:type="dxa"/>
            <w:tcBorders>
              <w:top w:val="single" w:sz="8" w:space="0" w:color="404040" w:themeColor="text1" w:themeTint="BF"/>
            </w:tcBorders>
            <w:shd w:val="clear" w:color="auto" w:fill="auto"/>
            <w:noWrap/>
            <w:vAlign w:val="center"/>
            <w:hideMark/>
          </w:tcPr>
          <w:p w14:paraId="06D9F25B" w14:textId="77777777" w:rsidR="00112F25" w:rsidRPr="00513B34" w:rsidRDefault="00112F25" w:rsidP="00513B34">
            <w:pPr>
              <w:jc w:val="right"/>
              <w:rPr>
                <w:sz w:val="18"/>
                <w:szCs w:val="18"/>
                <w:lang w:eastAsia="hr-HR"/>
              </w:rPr>
            </w:pPr>
          </w:p>
        </w:tc>
      </w:tr>
      <w:tr w:rsidR="00112F25" w:rsidRPr="00513B34" w14:paraId="562D7794" w14:textId="77777777" w:rsidTr="006A729E">
        <w:trPr>
          <w:trHeight w:val="283"/>
        </w:trPr>
        <w:tc>
          <w:tcPr>
            <w:tcW w:w="4977" w:type="dxa"/>
            <w:gridSpan w:val="2"/>
            <w:shd w:val="clear" w:color="auto" w:fill="auto"/>
            <w:noWrap/>
            <w:vAlign w:val="center"/>
            <w:hideMark/>
          </w:tcPr>
          <w:p w14:paraId="60A4ACA9" w14:textId="77777777" w:rsidR="00112F25" w:rsidRPr="00513B34" w:rsidRDefault="00112F25" w:rsidP="00513B34">
            <w:pPr>
              <w:jc w:val="left"/>
              <w:rPr>
                <w:sz w:val="18"/>
                <w:szCs w:val="18"/>
                <w:lang w:eastAsia="hr-HR"/>
              </w:rPr>
            </w:pPr>
            <w:r w:rsidRPr="00513B34">
              <w:rPr>
                <w:sz w:val="18"/>
                <w:szCs w:val="18"/>
                <w:lang w:eastAsia="hr-HR"/>
              </w:rPr>
              <w:t xml:space="preserve">Namjenske dotacije za sustav odvodnje </w:t>
            </w:r>
          </w:p>
        </w:tc>
        <w:tc>
          <w:tcPr>
            <w:tcW w:w="1281" w:type="dxa"/>
            <w:shd w:val="clear" w:color="auto" w:fill="auto"/>
            <w:noWrap/>
            <w:vAlign w:val="center"/>
          </w:tcPr>
          <w:p w14:paraId="2880B440" w14:textId="62923A5B" w:rsidR="00112F25" w:rsidRPr="00513B34" w:rsidRDefault="00112F25" w:rsidP="00513B34">
            <w:pPr>
              <w:jc w:val="right"/>
              <w:rPr>
                <w:sz w:val="18"/>
                <w:szCs w:val="18"/>
                <w:lang w:eastAsia="hr-HR"/>
              </w:rPr>
            </w:pPr>
            <w:r w:rsidRPr="00513B34">
              <w:rPr>
                <w:sz w:val="18"/>
                <w:szCs w:val="18"/>
                <w:lang w:eastAsia="hr-HR"/>
              </w:rPr>
              <w:t>3</w:t>
            </w:r>
            <w:r>
              <w:rPr>
                <w:sz w:val="18"/>
                <w:szCs w:val="18"/>
                <w:lang w:eastAsia="hr-HR"/>
              </w:rPr>
              <w:t>8.781.767</w:t>
            </w:r>
          </w:p>
        </w:tc>
        <w:tc>
          <w:tcPr>
            <w:tcW w:w="320" w:type="dxa"/>
            <w:shd w:val="clear" w:color="auto" w:fill="auto"/>
            <w:noWrap/>
            <w:vAlign w:val="center"/>
            <w:hideMark/>
          </w:tcPr>
          <w:p w14:paraId="6C8FC175" w14:textId="77777777" w:rsidR="00112F25" w:rsidRPr="00513B34" w:rsidRDefault="00112F25" w:rsidP="00513B34">
            <w:pPr>
              <w:jc w:val="right"/>
              <w:rPr>
                <w:sz w:val="18"/>
                <w:szCs w:val="18"/>
                <w:lang w:eastAsia="hr-HR"/>
              </w:rPr>
            </w:pPr>
          </w:p>
        </w:tc>
      </w:tr>
      <w:tr w:rsidR="00112F25" w:rsidRPr="00513B34" w14:paraId="0CF3C771" w14:textId="77777777" w:rsidTr="006A729E">
        <w:trPr>
          <w:trHeight w:val="283"/>
        </w:trPr>
        <w:tc>
          <w:tcPr>
            <w:tcW w:w="4977" w:type="dxa"/>
            <w:gridSpan w:val="2"/>
            <w:shd w:val="clear" w:color="auto" w:fill="auto"/>
            <w:noWrap/>
            <w:vAlign w:val="center"/>
            <w:hideMark/>
          </w:tcPr>
          <w:p w14:paraId="295147ED" w14:textId="77777777" w:rsidR="00112F25" w:rsidRPr="00513B34" w:rsidRDefault="00112F25" w:rsidP="00513B34">
            <w:pPr>
              <w:jc w:val="left"/>
              <w:rPr>
                <w:sz w:val="18"/>
                <w:szCs w:val="18"/>
                <w:lang w:eastAsia="hr-HR"/>
              </w:rPr>
            </w:pPr>
            <w:r w:rsidRPr="00513B34">
              <w:rPr>
                <w:sz w:val="18"/>
                <w:szCs w:val="18"/>
                <w:lang w:eastAsia="hr-HR"/>
              </w:rPr>
              <w:t xml:space="preserve">Naknada za razvoj vodoopskrbe </w:t>
            </w:r>
          </w:p>
        </w:tc>
        <w:tc>
          <w:tcPr>
            <w:tcW w:w="1281" w:type="dxa"/>
            <w:shd w:val="clear" w:color="auto" w:fill="auto"/>
            <w:noWrap/>
            <w:vAlign w:val="center"/>
          </w:tcPr>
          <w:p w14:paraId="2E411CCD" w14:textId="34680651" w:rsidR="00112F25" w:rsidRPr="00513B34" w:rsidRDefault="00112F25" w:rsidP="00513B34">
            <w:pPr>
              <w:jc w:val="right"/>
              <w:rPr>
                <w:sz w:val="18"/>
                <w:szCs w:val="18"/>
                <w:lang w:eastAsia="hr-HR"/>
              </w:rPr>
            </w:pPr>
            <w:r w:rsidRPr="00513B34">
              <w:rPr>
                <w:sz w:val="18"/>
                <w:szCs w:val="18"/>
                <w:lang w:eastAsia="hr-HR"/>
              </w:rPr>
              <w:t>6.860.264</w:t>
            </w:r>
          </w:p>
        </w:tc>
        <w:tc>
          <w:tcPr>
            <w:tcW w:w="320" w:type="dxa"/>
            <w:shd w:val="clear" w:color="auto" w:fill="auto"/>
            <w:noWrap/>
            <w:vAlign w:val="center"/>
            <w:hideMark/>
          </w:tcPr>
          <w:p w14:paraId="12FAA5D0" w14:textId="77777777" w:rsidR="00112F25" w:rsidRPr="00513B34" w:rsidRDefault="00112F25" w:rsidP="00513B34">
            <w:pPr>
              <w:jc w:val="right"/>
              <w:rPr>
                <w:sz w:val="18"/>
                <w:szCs w:val="18"/>
                <w:lang w:eastAsia="hr-HR"/>
              </w:rPr>
            </w:pPr>
          </w:p>
        </w:tc>
      </w:tr>
      <w:tr w:rsidR="00112F25" w:rsidRPr="00513B34" w14:paraId="603977FC" w14:textId="77777777" w:rsidTr="006A729E">
        <w:trPr>
          <w:trHeight w:val="283"/>
        </w:trPr>
        <w:tc>
          <w:tcPr>
            <w:tcW w:w="4977" w:type="dxa"/>
            <w:gridSpan w:val="2"/>
            <w:shd w:val="clear" w:color="auto" w:fill="auto"/>
            <w:noWrap/>
            <w:vAlign w:val="center"/>
            <w:hideMark/>
          </w:tcPr>
          <w:p w14:paraId="7F3700DB" w14:textId="77777777" w:rsidR="00112F25" w:rsidRPr="00513B34" w:rsidRDefault="00112F25" w:rsidP="00513B34">
            <w:pPr>
              <w:jc w:val="left"/>
              <w:rPr>
                <w:sz w:val="18"/>
                <w:szCs w:val="18"/>
                <w:lang w:eastAsia="hr-HR"/>
              </w:rPr>
            </w:pPr>
            <w:r w:rsidRPr="00513B34">
              <w:rPr>
                <w:sz w:val="18"/>
                <w:szCs w:val="18"/>
                <w:lang w:eastAsia="hr-HR"/>
              </w:rPr>
              <w:t xml:space="preserve">Naknada za razvoj sustava odvodnje </w:t>
            </w:r>
          </w:p>
        </w:tc>
        <w:tc>
          <w:tcPr>
            <w:tcW w:w="1281" w:type="dxa"/>
            <w:shd w:val="clear" w:color="auto" w:fill="auto"/>
            <w:noWrap/>
            <w:vAlign w:val="center"/>
          </w:tcPr>
          <w:p w14:paraId="7C28C458" w14:textId="0DC7A5A7" w:rsidR="00112F25" w:rsidRPr="00513B34" w:rsidRDefault="00112F25" w:rsidP="00513B34">
            <w:pPr>
              <w:jc w:val="right"/>
              <w:rPr>
                <w:sz w:val="18"/>
                <w:szCs w:val="18"/>
                <w:lang w:eastAsia="hr-HR"/>
              </w:rPr>
            </w:pPr>
            <w:r w:rsidRPr="00513B34">
              <w:rPr>
                <w:sz w:val="18"/>
                <w:szCs w:val="18"/>
                <w:lang w:eastAsia="hr-HR"/>
              </w:rPr>
              <w:t>2.005.068</w:t>
            </w:r>
          </w:p>
        </w:tc>
        <w:tc>
          <w:tcPr>
            <w:tcW w:w="320" w:type="dxa"/>
            <w:shd w:val="clear" w:color="auto" w:fill="auto"/>
            <w:noWrap/>
            <w:vAlign w:val="center"/>
            <w:hideMark/>
          </w:tcPr>
          <w:p w14:paraId="43016EA9" w14:textId="77777777" w:rsidR="00112F25" w:rsidRPr="00513B34" w:rsidRDefault="00112F25" w:rsidP="00513B34">
            <w:pPr>
              <w:jc w:val="right"/>
              <w:rPr>
                <w:sz w:val="18"/>
                <w:szCs w:val="18"/>
                <w:lang w:eastAsia="hr-HR"/>
              </w:rPr>
            </w:pPr>
          </w:p>
        </w:tc>
      </w:tr>
      <w:tr w:rsidR="00112F25" w:rsidRPr="00513B34" w14:paraId="709E4A67" w14:textId="77777777" w:rsidTr="006A729E">
        <w:trPr>
          <w:trHeight w:val="283"/>
        </w:trPr>
        <w:tc>
          <w:tcPr>
            <w:tcW w:w="4977" w:type="dxa"/>
            <w:gridSpan w:val="2"/>
            <w:tcBorders>
              <w:bottom w:val="single" w:sz="8" w:space="0" w:color="404040" w:themeColor="text1" w:themeTint="BF"/>
            </w:tcBorders>
            <w:shd w:val="clear" w:color="auto" w:fill="auto"/>
            <w:noWrap/>
            <w:vAlign w:val="center"/>
            <w:hideMark/>
          </w:tcPr>
          <w:p w14:paraId="17BCD6BE" w14:textId="77777777" w:rsidR="00112F25" w:rsidRPr="00513B34" w:rsidRDefault="00112F25" w:rsidP="00513B34">
            <w:pPr>
              <w:jc w:val="left"/>
              <w:rPr>
                <w:sz w:val="18"/>
                <w:szCs w:val="18"/>
                <w:lang w:eastAsia="hr-HR"/>
              </w:rPr>
            </w:pPr>
            <w:r w:rsidRPr="00513B34">
              <w:rPr>
                <w:sz w:val="18"/>
                <w:szCs w:val="18"/>
                <w:lang w:eastAsia="hr-HR"/>
              </w:rPr>
              <w:t>Obračunati troškovi koji nisu fakturirani</w:t>
            </w:r>
          </w:p>
        </w:tc>
        <w:tc>
          <w:tcPr>
            <w:tcW w:w="1281" w:type="dxa"/>
            <w:tcBorders>
              <w:bottom w:val="single" w:sz="8" w:space="0" w:color="404040" w:themeColor="text1" w:themeTint="BF"/>
            </w:tcBorders>
            <w:shd w:val="clear" w:color="auto" w:fill="auto"/>
            <w:noWrap/>
            <w:vAlign w:val="center"/>
          </w:tcPr>
          <w:p w14:paraId="4286E27B" w14:textId="4FDCDE5B" w:rsidR="00112F25" w:rsidRPr="00513B34" w:rsidRDefault="00112F25" w:rsidP="00513B34">
            <w:pPr>
              <w:jc w:val="right"/>
              <w:rPr>
                <w:sz w:val="18"/>
                <w:szCs w:val="18"/>
                <w:lang w:eastAsia="hr-HR"/>
              </w:rPr>
            </w:pPr>
            <w:r w:rsidRPr="00513B34">
              <w:rPr>
                <w:sz w:val="18"/>
                <w:szCs w:val="18"/>
                <w:lang w:eastAsia="hr-HR"/>
              </w:rPr>
              <w:t>0</w:t>
            </w:r>
          </w:p>
        </w:tc>
        <w:tc>
          <w:tcPr>
            <w:tcW w:w="320" w:type="dxa"/>
            <w:tcBorders>
              <w:bottom w:val="single" w:sz="8" w:space="0" w:color="404040" w:themeColor="text1" w:themeTint="BF"/>
            </w:tcBorders>
            <w:shd w:val="clear" w:color="auto" w:fill="auto"/>
            <w:noWrap/>
            <w:vAlign w:val="center"/>
            <w:hideMark/>
          </w:tcPr>
          <w:p w14:paraId="4BAB7002" w14:textId="77777777" w:rsidR="00112F25" w:rsidRPr="00513B34" w:rsidRDefault="00112F25" w:rsidP="00513B34">
            <w:pPr>
              <w:jc w:val="right"/>
              <w:rPr>
                <w:sz w:val="18"/>
                <w:szCs w:val="18"/>
                <w:lang w:eastAsia="hr-HR"/>
              </w:rPr>
            </w:pPr>
          </w:p>
        </w:tc>
      </w:tr>
      <w:tr w:rsidR="00112F25" w:rsidRPr="00513B34" w14:paraId="726C328E" w14:textId="77777777" w:rsidTr="00112F25">
        <w:trPr>
          <w:trHeight w:val="315"/>
        </w:trPr>
        <w:tc>
          <w:tcPr>
            <w:tcW w:w="4660" w:type="dxa"/>
            <w:tcBorders>
              <w:top w:val="single" w:sz="8" w:space="0" w:color="404040" w:themeColor="text1" w:themeTint="BF"/>
              <w:bottom w:val="single" w:sz="8" w:space="0" w:color="404040" w:themeColor="text1" w:themeTint="BF"/>
            </w:tcBorders>
            <w:shd w:val="clear" w:color="auto" w:fill="auto"/>
            <w:noWrap/>
            <w:vAlign w:val="center"/>
            <w:hideMark/>
          </w:tcPr>
          <w:p w14:paraId="03993CB8" w14:textId="7909BE87" w:rsidR="00112F25" w:rsidRPr="00513B34" w:rsidRDefault="00112F25" w:rsidP="00513B34">
            <w:pPr>
              <w:jc w:val="left"/>
              <w:rPr>
                <w:b/>
                <w:bCs/>
                <w:sz w:val="18"/>
                <w:szCs w:val="18"/>
                <w:lang w:eastAsia="hr-HR"/>
              </w:rPr>
            </w:pPr>
            <w:r w:rsidRPr="00513B34">
              <w:rPr>
                <w:b/>
                <w:bCs/>
                <w:sz w:val="18"/>
                <w:szCs w:val="18"/>
                <w:lang w:eastAsia="hr-HR"/>
              </w:rPr>
              <w:t>Ukupno</w:t>
            </w:r>
          </w:p>
        </w:tc>
        <w:tc>
          <w:tcPr>
            <w:tcW w:w="1598" w:type="dxa"/>
            <w:gridSpan w:val="2"/>
            <w:tcBorders>
              <w:top w:val="single" w:sz="8" w:space="0" w:color="404040" w:themeColor="text1" w:themeTint="BF"/>
              <w:bottom w:val="single" w:sz="8" w:space="0" w:color="404040" w:themeColor="text1" w:themeTint="BF"/>
            </w:tcBorders>
            <w:shd w:val="clear" w:color="auto" w:fill="auto"/>
            <w:noWrap/>
            <w:vAlign w:val="center"/>
          </w:tcPr>
          <w:p w14:paraId="28BB1684" w14:textId="10685F98" w:rsidR="00112F25" w:rsidRPr="00513B34" w:rsidRDefault="00112F25" w:rsidP="00513B34">
            <w:pPr>
              <w:jc w:val="right"/>
              <w:rPr>
                <w:b/>
                <w:bCs/>
                <w:sz w:val="18"/>
                <w:szCs w:val="18"/>
                <w:lang w:eastAsia="hr-HR"/>
              </w:rPr>
            </w:pPr>
            <w:r w:rsidRPr="00513B34">
              <w:rPr>
                <w:b/>
                <w:bCs/>
                <w:sz w:val="18"/>
                <w:szCs w:val="18"/>
                <w:lang w:eastAsia="hr-HR"/>
              </w:rPr>
              <w:t>74.801.749</w:t>
            </w:r>
          </w:p>
        </w:tc>
        <w:tc>
          <w:tcPr>
            <w:tcW w:w="320" w:type="dxa"/>
            <w:tcBorders>
              <w:top w:val="single" w:sz="8" w:space="0" w:color="404040" w:themeColor="text1" w:themeTint="BF"/>
              <w:bottom w:val="single" w:sz="8" w:space="0" w:color="404040" w:themeColor="text1" w:themeTint="BF"/>
            </w:tcBorders>
            <w:shd w:val="clear" w:color="auto" w:fill="auto"/>
            <w:noWrap/>
            <w:vAlign w:val="center"/>
            <w:hideMark/>
          </w:tcPr>
          <w:p w14:paraId="2C5B9E38" w14:textId="77777777" w:rsidR="00112F25" w:rsidRPr="00513B34" w:rsidRDefault="00112F25" w:rsidP="00513B34">
            <w:pPr>
              <w:jc w:val="right"/>
              <w:rPr>
                <w:b/>
                <w:bCs/>
                <w:sz w:val="18"/>
                <w:szCs w:val="18"/>
                <w:lang w:eastAsia="hr-HR"/>
              </w:rPr>
            </w:pPr>
            <w:r w:rsidRPr="00513B34">
              <w:rPr>
                <w:b/>
                <w:bCs/>
                <w:sz w:val="18"/>
                <w:szCs w:val="18"/>
                <w:lang w:eastAsia="hr-HR"/>
              </w:rPr>
              <w:t> </w:t>
            </w:r>
          </w:p>
        </w:tc>
      </w:tr>
    </w:tbl>
    <w:p w14:paraId="101AC5C2" w14:textId="77777777" w:rsidR="00B53980" w:rsidRDefault="00B53980" w:rsidP="00A02495"/>
    <w:p w14:paraId="20ED8200" w14:textId="4870DB7A" w:rsidR="00112F25" w:rsidRPr="00112F25" w:rsidRDefault="00112F25" w:rsidP="00112F25">
      <w:r w:rsidRPr="00112F25">
        <w:t xml:space="preserve">Odgođeni  prihodi u iznosu od  27.154.650 </w:t>
      </w:r>
      <w:r>
        <w:t>eura</w:t>
      </w:r>
      <w:r w:rsidRPr="00112F25">
        <w:t xml:space="preserve">  odnose se  na  primljena  novčana  sredstva u svrhu financiranja  kapitalnih  investicija  u  vodoopskrbi od strane EU fondova, NPOO, Hrvatskih voda, jedinica lokalne samouprave te drugih pravnih i fizičkih osoba. Povećanje  u  odnosu  na prethodno  razdoblje rezultat  je novih ulaganja u  2024. godini u vrijednosti od 2.862.688 </w:t>
      </w:r>
      <w:r>
        <w:t>eura</w:t>
      </w:r>
      <w:r w:rsidRPr="00112F25">
        <w:t xml:space="preserve"> i ukidanja odgođenih prihoda u vrijednosti od  1.515.4940 </w:t>
      </w:r>
      <w:r>
        <w:t>eura.</w:t>
      </w:r>
    </w:p>
    <w:p w14:paraId="52A0F5B8" w14:textId="77777777" w:rsidR="00112F25" w:rsidRPr="00112F25" w:rsidRDefault="00112F25" w:rsidP="00112F25"/>
    <w:p w14:paraId="03FF64C5" w14:textId="10965EE1" w:rsidR="00112F25" w:rsidRPr="00112F25" w:rsidRDefault="00112F25" w:rsidP="00112F25">
      <w:r w:rsidRPr="00112F25">
        <w:t>Odgođeni prihod od 38.781.76</w:t>
      </w:r>
      <w:r>
        <w:t>7</w:t>
      </w:r>
      <w:r w:rsidRPr="00112F25">
        <w:t xml:space="preserve"> </w:t>
      </w:r>
      <w:r>
        <w:t>eura</w:t>
      </w:r>
      <w:r w:rsidRPr="00112F25">
        <w:t xml:space="preserve"> odnosi se na  primljena  novčana  sredstva u svrhu financiranja  kapitalnih  investicija  u  odvodnji od strane EU fondova, NPOO, Hrvatskih voda, jedinica lokalne samouprave te drugih pravnih i fizičkih osoba. Povećanje  u  odnosu  na prethodno  razdoblje rezultat  je novih ulaganja u  2024. godini u vrijednosti od 5.303.468,71 </w:t>
      </w:r>
      <w:r>
        <w:t>eura</w:t>
      </w:r>
      <w:r w:rsidRPr="00112F25">
        <w:t xml:space="preserve"> i ukidanja odgođenih prihoda u vrijednosti od  1.396.021,25 </w:t>
      </w:r>
      <w:r>
        <w:t>eura</w:t>
      </w:r>
      <w:r w:rsidRPr="00112F25">
        <w:t>.</w:t>
      </w:r>
    </w:p>
    <w:p w14:paraId="77C993A2" w14:textId="77777777" w:rsidR="00112F25" w:rsidRPr="00112F25" w:rsidRDefault="00112F25" w:rsidP="00112F25"/>
    <w:p w14:paraId="0B31A54A" w14:textId="5F7A5922" w:rsidR="00112F25" w:rsidRPr="00112F25" w:rsidRDefault="00112F25" w:rsidP="00112F25">
      <w:r w:rsidRPr="00112F25">
        <w:lastRenderedPageBreak/>
        <w:t>Odgođeni  prihodi   u  iznosu  od  6.860.26</w:t>
      </w:r>
      <w:r>
        <w:t>4</w:t>
      </w:r>
      <w:r w:rsidRPr="00112F25">
        <w:t xml:space="preserve"> EUR  odnosi  se  na  sredstva naplaćena putem naknade za razvoj sustava javne vodoopskrbe.  Povećanje  u odnosu na prethodno  razdoblje rezultat je novih ulaganja u 2024. godini u iznosu od  1.179.084 </w:t>
      </w:r>
      <w:r>
        <w:t>eura</w:t>
      </w:r>
      <w:r w:rsidRPr="00112F25">
        <w:t xml:space="preserve">  i  ukidanja  odgođenih  prihoda u iznosu od 349.75</w:t>
      </w:r>
      <w:r>
        <w:t>6</w:t>
      </w:r>
      <w:r w:rsidRPr="00112F25">
        <w:t xml:space="preserve"> </w:t>
      </w:r>
      <w:r>
        <w:t>eura</w:t>
      </w:r>
    </w:p>
    <w:p w14:paraId="0A9ED00B" w14:textId="77777777" w:rsidR="00112F25" w:rsidRPr="00112F25" w:rsidRDefault="00112F25" w:rsidP="00112F25"/>
    <w:p w14:paraId="1F0BEFFA" w14:textId="431F82B0" w:rsidR="00290B4A" w:rsidRPr="00112F25" w:rsidRDefault="00112F25" w:rsidP="00112F25">
      <w:r>
        <w:t>O</w:t>
      </w:r>
      <w:r w:rsidRPr="00112F25">
        <w:t>dgođeni prihod u iznosu od 2.005.068</w:t>
      </w:r>
      <w:r>
        <w:t xml:space="preserve"> eura</w:t>
      </w:r>
      <w:r w:rsidRPr="00112F25">
        <w:t xml:space="preserve"> odnosi  se  na  sredstva naplaćena putem naknade za razvoj sustava javne odvodnje.  Povećanje  u odnosu na prethodno  razdoblje rezultat je novih ulaganja u 2024. godini u iznosu od  1.077.93</w:t>
      </w:r>
      <w:r>
        <w:t xml:space="preserve">4 eura </w:t>
      </w:r>
      <w:r w:rsidRPr="00112F25">
        <w:t>i  ukidanja  odgođenih  prihoda u iznosu od 74.376</w:t>
      </w:r>
      <w:r>
        <w:t xml:space="preserve"> eura</w:t>
      </w:r>
      <w:r w:rsidRPr="00112F25">
        <w:t>.</w:t>
      </w:r>
    </w:p>
    <w:p w14:paraId="28021D98" w14:textId="77777777" w:rsidR="00763AC1" w:rsidRDefault="00763AC1" w:rsidP="00A02495"/>
    <w:p w14:paraId="7436068A" w14:textId="77777777" w:rsidR="005D3D08" w:rsidRDefault="005D3D08" w:rsidP="00A02495"/>
    <w:p w14:paraId="57A5D06C" w14:textId="77777777" w:rsidR="005D3D08" w:rsidRDefault="005D3D08" w:rsidP="00A02495"/>
    <w:p w14:paraId="0F39957B" w14:textId="77777777" w:rsidR="005D3D08" w:rsidRDefault="005D3D08" w:rsidP="00A02495"/>
    <w:p w14:paraId="2F2845C8" w14:textId="77777777" w:rsidR="005D3D08" w:rsidRDefault="005D3D08" w:rsidP="00A02495"/>
    <w:p w14:paraId="3709E90A" w14:textId="77777777" w:rsidR="005D3D08" w:rsidRDefault="005D3D08" w:rsidP="00A02495"/>
    <w:p w14:paraId="123E073E" w14:textId="77777777" w:rsidR="005D3D08" w:rsidRDefault="005D3D08" w:rsidP="00A02495"/>
    <w:p w14:paraId="70A88A7F" w14:textId="77777777" w:rsidR="005D3D08" w:rsidRPr="007667F3" w:rsidRDefault="005D3D08" w:rsidP="00A02495"/>
    <w:p w14:paraId="0CD61417" w14:textId="77777777" w:rsidR="00B92468" w:rsidRDefault="00B92468" w:rsidP="00A02495"/>
    <w:p w14:paraId="0BCD63D7" w14:textId="77777777" w:rsidR="00B92468" w:rsidRDefault="00B92468" w:rsidP="00A02495"/>
    <w:p w14:paraId="617BEC65" w14:textId="77777777" w:rsidR="00B92468" w:rsidRDefault="00B92468" w:rsidP="00A02495"/>
    <w:p w14:paraId="6A28CEDB" w14:textId="77777777" w:rsidR="00B92468" w:rsidRDefault="00B92468" w:rsidP="00A02495"/>
    <w:p w14:paraId="3A94A48A" w14:textId="77777777" w:rsidR="00B92468" w:rsidRDefault="00B92468" w:rsidP="00A02495"/>
    <w:p w14:paraId="73791B12" w14:textId="77777777" w:rsidR="00B92468" w:rsidRDefault="00B92468" w:rsidP="00A02495"/>
    <w:p w14:paraId="081072AF" w14:textId="77777777" w:rsidR="00EE1BCD" w:rsidRDefault="00EE1BCD" w:rsidP="00A02495"/>
    <w:p w14:paraId="7A0C61D6" w14:textId="77777777" w:rsidR="00EE1BCD" w:rsidRDefault="00EE1BCD" w:rsidP="00A02495"/>
    <w:p w14:paraId="48124CC5" w14:textId="77777777" w:rsidR="009977E5" w:rsidRDefault="009977E5" w:rsidP="00A02495"/>
    <w:p w14:paraId="01180F7E" w14:textId="77777777" w:rsidR="009977E5" w:rsidRDefault="009977E5" w:rsidP="00A02495"/>
    <w:p w14:paraId="1316F3CC" w14:textId="77777777" w:rsidR="00E807B3" w:rsidRDefault="00E807B3" w:rsidP="00A02495"/>
    <w:p w14:paraId="7293943A" w14:textId="77777777" w:rsidR="009977E5" w:rsidRDefault="009977E5" w:rsidP="00A02495"/>
    <w:p w14:paraId="22AA667A" w14:textId="77777777" w:rsidR="00290B4A" w:rsidRDefault="00290B4A" w:rsidP="00A02495"/>
    <w:p w14:paraId="7E2A19AD" w14:textId="77777777" w:rsidR="007667F3" w:rsidRDefault="007667F3" w:rsidP="00A02495"/>
    <w:p w14:paraId="30280D5E" w14:textId="77777777" w:rsidR="00F20EB0" w:rsidRDefault="00F20EB0" w:rsidP="00A02495"/>
    <w:p w14:paraId="0B958B05" w14:textId="77777777" w:rsidR="00BD4400" w:rsidRDefault="00BD4400" w:rsidP="00A02495"/>
    <w:p w14:paraId="2FAEAA3A" w14:textId="77777777" w:rsidR="000B5C2E" w:rsidRDefault="000B5C2E" w:rsidP="00A02495"/>
    <w:p w14:paraId="5A16A700" w14:textId="77777777" w:rsidR="000B5C2E" w:rsidRDefault="000B5C2E" w:rsidP="00A02495"/>
    <w:p w14:paraId="698BAAF3" w14:textId="77777777" w:rsidR="000B5C2E" w:rsidRDefault="000B5C2E" w:rsidP="00A02495"/>
    <w:p w14:paraId="21A8EB7D" w14:textId="77777777" w:rsidR="000B5C2E" w:rsidRDefault="000B5C2E" w:rsidP="00A02495"/>
    <w:p w14:paraId="1B408A48" w14:textId="77777777" w:rsidR="000B5C2E" w:rsidRDefault="000B5C2E" w:rsidP="00A02495"/>
    <w:p w14:paraId="72EEE2D2" w14:textId="77777777" w:rsidR="000B5C2E" w:rsidRDefault="000B5C2E" w:rsidP="00A02495"/>
    <w:p w14:paraId="0302F751" w14:textId="77777777" w:rsidR="00BD4400" w:rsidRDefault="00BD4400" w:rsidP="00A02495"/>
    <w:p w14:paraId="23D69041" w14:textId="77777777" w:rsidR="00BD4400" w:rsidRDefault="00BD4400" w:rsidP="00A02495"/>
    <w:p w14:paraId="7968DF6F" w14:textId="77777777" w:rsidR="00BD4400" w:rsidRDefault="00BD4400" w:rsidP="00A02495"/>
    <w:p w14:paraId="4750A3A7" w14:textId="77777777" w:rsidR="00BD4400" w:rsidRDefault="00BD4400" w:rsidP="00A02495"/>
    <w:p w14:paraId="7BA32118" w14:textId="77777777" w:rsidR="00BD4400" w:rsidRDefault="00BD4400" w:rsidP="00A02495"/>
    <w:p w14:paraId="3C399758" w14:textId="77777777" w:rsidR="00BD4400" w:rsidRDefault="00BD4400" w:rsidP="00A02495"/>
    <w:p w14:paraId="086FEE1A" w14:textId="2AE56910" w:rsidR="004D2A2E" w:rsidRDefault="00A27A80" w:rsidP="00112F25">
      <w:pPr>
        <w:rPr>
          <w:rFonts w:cs="Arial"/>
          <w:b/>
          <w:color w:val="262626"/>
          <w:szCs w:val="18"/>
        </w:rPr>
      </w:pPr>
      <w:r>
        <w:br w:type="page"/>
      </w:r>
      <w:r w:rsidR="004D2A2E">
        <w:rPr>
          <w:rFonts w:cs="Arial"/>
          <w:b/>
          <w:color w:val="262626"/>
          <w:szCs w:val="18"/>
        </w:rPr>
        <w:lastRenderedPageBreak/>
        <w:t>Izvještaj 3.</w:t>
      </w:r>
    </w:p>
    <w:p w14:paraId="490E1AD6" w14:textId="77777777" w:rsidR="004D2A2E" w:rsidRDefault="004D2A2E" w:rsidP="004D2A2E">
      <w:pPr>
        <w:pStyle w:val="Standard"/>
        <w:pBdr>
          <w:bottom w:val="single" w:sz="18" w:space="1" w:color="000080"/>
        </w:pBdr>
        <w:spacing w:after="0" w:line="360" w:lineRule="auto"/>
        <w:rPr>
          <w:rFonts w:ascii="Cambria" w:hAnsi="Cambria" w:cs="Arial"/>
          <w:b/>
          <w:color w:val="262626"/>
          <w:sz w:val="40"/>
          <w:szCs w:val="26"/>
        </w:rPr>
      </w:pPr>
      <w:r>
        <w:rPr>
          <w:rFonts w:ascii="Cambria" w:hAnsi="Cambria" w:cs="Arial"/>
          <w:b/>
          <w:color w:val="262626"/>
          <w:sz w:val="40"/>
          <w:szCs w:val="26"/>
        </w:rPr>
        <w:t>PRIHODI I RASHODI</w:t>
      </w:r>
    </w:p>
    <w:p w14:paraId="3D2850D8" w14:textId="77777777" w:rsidR="004D2A2E" w:rsidRDefault="004D2A2E" w:rsidP="004D2A2E">
      <w:pPr>
        <w:pStyle w:val="Standard"/>
        <w:spacing w:after="0" w:line="240" w:lineRule="auto"/>
        <w:rPr>
          <w:rFonts w:ascii="Cambria" w:hAnsi="Cambria"/>
        </w:rPr>
      </w:pPr>
    </w:p>
    <w:p w14:paraId="4469A85C" w14:textId="06EE8E76" w:rsidR="00D25258" w:rsidRDefault="00D25258" w:rsidP="004D2A2E">
      <w:pPr>
        <w:pStyle w:val="Standard"/>
        <w:spacing w:after="0" w:line="240" w:lineRule="auto"/>
        <w:rPr>
          <w:rFonts w:ascii="Cambria" w:hAnsi="Cambria"/>
        </w:rPr>
      </w:pPr>
      <w:r>
        <w:rPr>
          <w:noProof/>
        </w:rPr>
        <w:drawing>
          <wp:inline distT="0" distB="0" distL="0" distR="0" wp14:anchorId="08DC065C" wp14:editId="05A9E307">
            <wp:extent cx="5760720" cy="2466340"/>
            <wp:effectExtent l="0" t="0" r="0" b="0"/>
            <wp:docPr id="885161481" name="Grafikon 1">
              <a:extLst xmlns:a="http://schemas.openxmlformats.org/drawingml/2006/main">
                <a:ext uri="{FF2B5EF4-FFF2-40B4-BE49-F238E27FC236}">
                  <a16:creationId xmlns:a16="http://schemas.microsoft.com/office/drawing/2014/main" id="{58900333-24FC-EEF4-47D6-0364257E9BE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E353509" w14:textId="77777777" w:rsidR="00C33FF0" w:rsidRPr="00D30B2C" w:rsidRDefault="00AD3BBA" w:rsidP="00A02495">
      <w:r>
        <w:t xml:space="preserve">                           </w:t>
      </w:r>
      <w:r w:rsidR="00D30B2C">
        <w:t>*</w:t>
      </w:r>
      <w:r w:rsidR="00D30B2C" w:rsidRPr="00D30B2C">
        <w:t>POSLOVNI PRIHODI – POSLOVNI RASHODI</w:t>
      </w:r>
    </w:p>
    <w:p w14:paraId="5A40A39D" w14:textId="77777777" w:rsidR="002F1A18" w:rsidRDefault="002F1A18" w:rsidP="00A02495"/>
    <w:tbl>
      <w:tblPr>
        <w:tblW w:w="9062" w:type="dxa"/>
        <w:tblInd w:w="-108" w:type="dxa"/>
        <w:tblLayout w:type="fixed"/>
        <w:tblCellMar>
          <w:left w:w="10" w:type="dxa"/>
          <w:right w:w="10" w:type="dxa"/>
        </w:tblCellMar>
        <w:tblLook w:val="04A0" w:firstRow="1" w:lastRow="0" w:firstColumn="1" w:lastColumn="0" w:noHBand="0" w:noVBand="1"/>
      </w:tblPr>
      <w:tblGrid>
        <w:gridCol w:w="9062"/>
      </w:tblGrid>
      <w:tr w:rsidR="00F57847" w14:paraId="0F71816A" w14:textId="77777777" w:rsidTr="00F57847">
        <w:trPr>
          <w:trHeight w:val="397"/>
        </w:trPr>
        <w:tc>
          <w:tcPr>
            <w:tcW w:w="9062" w:type="dxa"/>
            <w:shd w:val="clear" w:color="auto" w:fill="E7E7FF"/>
            <w:tcMar>
              <w:top w:w="0" w:type="dxa"/>
              <w:left w:w="108" w:type="dxa"/>
              <w:bottom w:w="0" w:type="dxa"/>
              <w:right w:w="108" w:type="dxa"/>
            </w:tcMar>
            <w:vAlign w:val="center"/>
          </w:tcPr>
          <w:p w14:paraId="7CD195EC" w14:textId="77777777" w:rsidR="00F57847" w:rsidRDefault="00F57847" w:rsidP="00F57847">
            <w:pPr>
              <w:pStyle w:val="Standard"/>
              <w:spacing w:after="0"/>
              <w:rPr>
                <w:rFonts w:ascii="Cambria" w:hAnsi="Cambria" w:cs="Arial"/>
                <w:b/>
                <w:color w:val="262626"/>
                <w:lang w:eastAsia="en-US"/>
              </w:rPr>
            </w:pPr>
            <w:r>
              <w:rPr>
                <w:rFonts w:ascii="Cambria" w:hAnsi="Cambria" w:cs="Arial"/>
                <w:b/>
                <w:color w:val="262626"/>
                <w:lang w:eastAsia="en-US"/>
              </w:rPr>
              <w:t xml:space="preserve">Prihodi </w:t>
            </w:r>
          </w:p>
        </w:tc>
      </w:tr>
    </w:tbl>
    <w:p w14:paraId="107E6A98" w14:textId="77777777" w:rsidR="00F57847" w:rsidRPr="007229CE" w:rsidRDefault="00F57847" w:rsidP="00A02495">
      <w:r w:rsidRPr="007229CE">
        <w:tab/>
      </w:r>
      <w:r w:rsidRPr="007229CE">
        <w:tab/>
      </w:r>
      <w:r w:rsidRPr="007229CE">
        <w:tab/>
      </w:r>
      <w:r w:rsidRPr="007229CE">
        <w:tab/>
      </w:r>
      <w:r w:rsidRPr="007229CE">
        <w:tab/>
      </w:r>
      <w:r w:rsidRPr="007229CE">
        <w:tab/>
      </w:r>
      <w:r w:rsidRPr="007229CE">
        <w:tab/>
      </w:r>
    </w:p>
    <w:p w14:paraId="5CCC0DB4" w14:textId="685710F5" w:rsidR="000818F2" w:rsidRPr="000148FA" w:rsidRDefault="000818F2" w:rsidP="00A02495">
      <w:r w:rsidRPr="000148FA">
        <w:t>Društvo je u 202</w:t>
      </w:r>
      <w:r w:rsidR="00B305CF">
        <w:t>4</w:t>
      </w:r>
      <w:r w:rsidRPr="000148FA">
        <w:t xml:space="preserve">. godini ostvarilo ukupno </w:t>
      </w:r>
      <w:r w:rsidR="000148FA" w:rsidRPr="000148FA">
        <w:rPr>
          <w:b/>
        </w:rPr>
        <w:t>18.477.351</w:t>
      </w:r>
      <w:r w:rsidR="0043338A" w:rsidRPr="000148FA">
        <w:rPr>
          <w:b/>
        </w:rPr>
        <w:t xml:space="preserve"> eura</w:t>
      </w:r>
      <w:r w:rsidRPr="000148FA">
        <w:rPr>
          <w:b/>
        </w:rPr>
        <w:t xml:space="preserve"> </w:t>
      </w:r>
      <w:r w:rsidRPr="000148FA">
        <w:t xml:space="preserve">prihoda </w:t>
      </w:r>
      <w:r w:rsidR="006B2C04" w:rsidRPr="000148FA">
        <w:t xml:space="preserve">odnosno </w:t>
      </w:r>
      <w:r w:rsidR="000148FA" w:rsidRPr="000148FA">
        <w:t>18</w:t>
      </w:r>
      <w:r w:rsidRPr="000148FA">
        <w:t xml:space="preserve">% </w:t>
      </w:r>
      <w:r w:rsidR="00EE2AB2" w:rsidRPr="000148FA">
        <w:t>(ili</w:t>
      </w:r>
      <w:r w:rsidR="00D04768" w:rsidRPr="000148FA">
        <w:t xml:space="preserve"> </w:t>
      </w:r>
      <w:r w:rsidR="000148FA" w:rsidRPr="000148FA">
        <w:t>2.826.863</w:t>
      </w:r>
      <w:r w:rsidR="00EE2AB2" w:rsidRPr="000148FA">
        <w:t xml:space="preserve"> eura) </w:t>
      </w:r>
      <w:r w:rsidR="00BD4400" w:rsidRPr="000148FA">
        <w:t xml:space="preserve">više </w:t>
      </w:r>
      <w:r w:rsidRPr="000148FA">
        <w:t xml:space="preserve">u odnosu na prethodnu </w:t>
      </w:r>
      <w:r w:rsidR="00BD4400" w:rsidRPr="000148FA">
        <w:t xml:space="preserve"> </w:t>
      </w:r>
      <w:r w:rsidRPr="000148FA">
        <w:t>godinu.</w:t>
      </w:r>
    </w:p>
    <w:p w14:paraId="1B368CFB" w14:textId="77777777" w:rsidR="000818F2" w:rsidRPr="009013E3" w:rsidRDefault="000818F2" w:rsidP="00A02495">
      <w:pPr>
        <w:rPr>
          <w:highlight w:val="magenta"/>
        </w:rPr>
      </w:pPr>
    </w:p>
    <w:p w14:paraId="16CB43D1" w14:textId="03D30302" w:rsidR="000818F2" w:rsidRPr="000148FA" w:rsidRDefault="000818F2" w:rsidP="00A02495">
      <w:r w:rsidRPr="000148FA">
        <w:t xml:space="preserve">Udio </w:t>
      </w:r>
      <w:r w:rsidRPr="000148FA">
        <w:rPr>
          <w:b/>
        </w:rPr>
        <w:t>poslovnih prihoda</w:t>
      </w:r>
      <w:r w:rsidRPr="000148FA">
        <w:t xml:space="preserve"> u ukupnim prihodima iznosi </w:t>
      </w:r>
      <w:r w:rsidR="00BD4400" w:rsidRPr="000148FA">
        <w:t>9</w:t>
      </w:r>
      <w:r w:rsidR="00D13CFD">
        <w:t>5</w:t>
      </w:r>
      <w:r w:rsidRPr="000148FA">
        <w:t xml:space="preserve">%. Tijekom izvještajnog razdoblja ostvareni su u iznosu od </w:t>
      </w:r>
      <w:r w:rsidR="000148FA" w:rsidRPr="000148FA">
        <w:t>17.</w:t>
      </w:r>
      <w:r w:rsidR="00D13CFD">
        <w:t>4</w:t>
      </w:r>
      <w:r w:rsidR="000148FA" w:rsidRPr="000148FA">
        <w:t>75.726</w:t>
      </w:r>
      <w:r w:rsidR="0043338A" w:rsidRPr="000148FA">
        <w:t xml:space="preserve"> eura</w:t>
      </w:r>
      <w:r w:rsidRPr="000148FA">
        <w:t xml:space="preserve"> te su kao takvi </w:t>
      </w:r>
      <w:r w:rsidR="006B2C04" w:rsidRPr="000148FA">
        <w:t>veći</w:t>
      </w:r>
      <w:r w:rsidRPr="000148FA">
        <w:t xml:space="preserve"> za </w:t>
      </w:r>
      <w:r w:rsidR="000148FA" w:rsidRPr="000148FA">
        <w:t>1</w:t>
      </w:r>
      <w:r w:rsidR="00D13CFD">
        <w:t>6</w:t>
      </w:r>
      <w:r w:rsidRPr="000148FA">
        <w:t>% u odnos</w:t>
      </w:r>
      <w:r w:rsidR="00FE033B" w:rsidRPr="000148FA">
        <w:t>u</w:t>
      </w:r>
      <w:r w:rsidRPr="000148FA">
        <w:t xml:space="preserve"> na 20</w:t>
      </w:r>
      <w:r w:rsidR="006B2C04" w:rsidRPr="000148FA">
        <w:t>2</w:t>
      </w:r>
      <w:r w:rsidR="000148FA" w:rsidRPr="000148FA">
        <w:t>3</w:t>
      </w:r>
      <w:r w:rsidRPr="000148FA">
        <w:t xml:space="preserve">. godinu. </w:t>
      </w:r>
    </w:p>
    <w:p w14:paraId="0EF5591C" w14:textId="77777777" w:rsidR="000818F2" w:rsidRPr="009013E3" w:rsidRDefault="000818F2" w:rsidP="00A02495">
      <w:pPr>
        <w:rPr>
          <w:highlight w:val="magenta"/>
        </w:rPr>
      </w:pPr>
    </w:p>
    <w:p w14:paraId="756832C7" w14:textId="1EA180D3" w:rsidR="000818F2" w:rsidRPr="000204D7" w:rsidRDefault="00A52D0D" w:rsidP="00A02495">
      <w:r w:rsidRPr="00B243C0">
        <w:rPr>
          <w:b/>
          <w:bCs/>
        </w:rPr>
        <w:t>Prihodi od prodaje proizvoda i usluga</w:t>
      </w:r>
      <w:r w:rsidRPr="000204D7">
        <w:t xml:space="preserve"> ostvareni su u iznosu od </w:t>
      </w:r>
      <w:r w:rsidR="000204D7">
        <w:t>13.349.544</w:t>
      </w:r>
      <w:r w:rsidR="0043338A" w:rsidRPr="000204D7">
        <w:t xml:space="preserve"> eura</w:t>
      </w:r>
      <w:r w:rsidRPr="000204D7">
        <w:t xml:space="preserve"> što predstavlja </w:t>
      </w:r>
      <w:r w:rsidR="006B2C04" w:rsidRPr="000204D7">
        <w:t>povećanje</w:t>
      </w:r>
      <w:r w:rsidRPr="000204D7">
        <w:t xml:space="preserve"> od </w:t>
      </w:r>
      <w:r w:rsidR="00FE033B" w:rsidRPr="000204D7">
        <w:t>1</w:t>
      </w:r>
      <w:r w:rsidR="000204D7">
        <w:t>3</w:t>
      </w:r>
      <w:r w:rsidRPr="000204D7">
        <w:t>% u odnosu na prošlogodišnju realizaciju. Isti obuhvaćaju:</w:t>
      </w:r>
    </w:p>
    <w:p w14:paraId="3970F18E" w14:textId="77777777" w:rsidR="0058208B" w:rsidRPr="000204D7" w:rsidRDefault="0058208B" w:rsidP="00A02495"/>
    <w:p w14:paraId="3CEFB8C4" w14:textId="164E6E4D" w:rsidR="00D12F44" w:rsidRPr="000204D7" w:rsidRDefault="003F2E20" w:rsidP="00A02495">
      <w:pPr>
        <w:pStyle w:val="Odlomakpopisa"/>
        <w:numPr>
          <w:ilvl w:val="0"/>
          <w:numId w:val="2"/>
        </w:numPr>
      </w:pPr>
      <w:r w:rsidRPr="000204D7">
        <w:t>prihod</w:t>
      </w:r>
      <w:r w:rsidR="00A52D0D" w:rsidRPr="000204D7">
        <w:t>e</w:t>
      </w:r>
      <w:r w:rsidRPr="000204D7">
        <w:t xml:space="preserve"> od </w:t>
      </w:r>
      <w:r w:rsidR="00DB382E" w:rsidRPr="000204D7">
        <w:t>vodnih usluga</w:t>
      </w:r>
      <w:r w:rsidR="00751C45" w:rsidRPr="000204D7">
        <w:t xml:space="preserve"> </w:t>
      </w:r>
      <w:r w:rsidR="0043338A" w:rsidRPr="000204D7">
        <w:t xml:space="preserve">javne vodoopskrbe </w:t>
      </w:r>
      <w:r w:rsidRPr="000204D7">
        <w:t>u iznosu od</w:t>
      </w:r>
      <w:r w:rsidR="00530CC9" w:rsidRPr="000204D7">
        <w:t xml:space="preserve"> </w:t>
      </w:r>
      <w:r w:rsidR="000204D7">
        <w:t>9.491.357</w:t>
      </w:r>
      <w:r w:rsidR="0043338A" w:rsidRPr="000204D7">
        <w:t xml:space="preserve"> eura</w:t>
      </w:r>
      <w:r w:rsidR="00AA0537" w:rsidRPr="000204D7">
        <w:t>, od čega</w:t>
      </w:r>
      <w:r w:rsidR="002A5274" w:rsidRPr="000204D7">
        <w:t xml:space="preserve"> </w:t>
      </w:r>
      <w:r w:rsidR="00D12F44" w:rsidRPr="000204D7">
        <w:t xml:space="preserve">se </w:t>
      </w:r>
      <w:r w:rsidR="0070747B">
        <w:t>5.576.037</w:t>
      </w:r>
      <w:r w:rsidR="0043338A" w:rsidRPr="000204D7">
        <w:t xml:space="preserve"> eura</w:t>
      </w:r>
      <w:r w:rsidR="00D12F44" w:rsidRPr="000204D7">
        <w:t xml:space="preserve"> odnosi na </w:t>
      </w:r>
      <w:r w:rsidR="0043338A" w:rsidRPr="000204D7">
        <w:t>prihod od vodnih usluga javne vodoopskrbe stambenim prostorima</w:t>
      </w:r>
      <w:r w:rsidR="00D12F44" w:rsidRPr="000204D7">
        <w:t xml:space="preserve"> i </w:t>
      </w:r>
      <w:r w:rsidR="0070747B">
        <w:t>3.915.320</w:t>
      </w:r>
      <w:r w:rsidR="0043338A" w:rsidRPr="000204D7">
        <w:t xml:space="preserve"> euro</w:t>
      </w:r>
      <w:r w:rsidR="00D12F44" w:rsidRPr="000204D7">
        <w:t xml:space="preserve"> na </w:t>
      </w:r>
      <w:r w:rsidR="0043338A" w:rsidRPr="000204D7">
        <w:t>prihode od vodnih usluga poslovnim prostorima</w:t>
      </w:r>
      <w:r w:rsidR="00D12F44" w:rsidRPr="000204D7">
        <w:t>;</w:t>
      </w:r>
    </w:p>
    <w:p w14:paraId="53900B6C" w14:textId="7F142737" w:rsidR="00D04768" w:rsidRPr="000204D7" w:rsidRDefault="00D04768" w:rsidP="00A02495">
      <w:pPr>
        <w:pStyle w:val="Odlomakpopisa"/>
        <w:numPr>
          <w:ilvl w:val="0"/>
          <w:numId w:val="2"/>
        </w:numPr>
      </w:pPr>
      <w:r w:rsidRPr="000204D7">
        <w:t xml:space="preserve">prihode od vodnih usluga skupljanja i pročišćavanja otpadnih voda u iznosu </w:t>
      </w:r>
      <w:r w:rsidR="0070747B">
        <w:t>1.901.234</w:t>
      </w:r>
      <w:r w:rsidRPr="000204D7">
        <w:t xml:space="preserve"> eura, od čega se </w:t>
      </w:r>
      <w:r w:rsidR="0070747B">
        <w:t>1.258.632</w:t>
      </w:r>
      <w:r w:rsidRPr="000204D7">
        <w:t xml:space="preserve"> eura odnosi na prihod od vodnih usluga skupljanja otpadnih voda i </w:t>
      </w:r>
      <w:r w:rsidR="0070747B">
        <w:t>642.602</w:t>
      </w:r>
      <w:r w:rsidRPr="000204D7">
        <w:t xml:space="preserve"> eura na prihode od vodnih usluga pročišćavanja otpadnih voda;</w:t>
      </w:r>
    </w:p>
    <w:p w14:paraId="58130E5E" w14:textId="26CE88B8" w:rsidR="00D12F44" w:rsidRPr="000204D7" w:rsidRDefault="00D12F44" w:rsidP="00A02495">
      <w:pPr>
        <w:pStyle w:val="Odlomakpopisa"/>
        <w:numPr>
          <w:ilvl w:val="0"/>
          <w:numId w:val="2"/>
        </w:numPr>
      </w:pPr>
      <w:r w:rsidRPr="000204D7">
        <w:t>prihod</w:t>
      </w:r>
      <w:r w:rsidR="005A6950" w:rsidRPr="000204D7">
        <w:t>e</w:t>
      </w:r>
      <w:r w:rsidRPr="000204D7">
        <w:t xml:space="preserve"> od obavljanja usluga na izgradnji priključaka u iznosu </w:t>
      </w:r>
      <w:r w:rsidR="0070747B">
        <w:t>840.797</w:t>
      </w:r>
      <w:r w:rsidR="0043338A" w:rsidRPr="000204D7">
        <w:t xml:space="preserve"> eura</w:t>
      </w:r>
      <w:r w:rsidR="00F55875">
        <w:t>, od čega se 824.611 eura odnosi na priključke za vodu i 16.186 eura na priključke za odvodnju</w:t>
      </w:r>
    </w:p>
    <w:p w14:paraId="6E1B07B5" w14:textId="4E9AFD82" w:rsidR="00F52C5A" w:rsidRPr="00D13CFD" w:rsidRDefault="00763AC1" w:rsidP="00A02495">
      <w:pPr>
        <w:pStyle w:val="Odlomakpopisa"/>
        <w:numPr>
          <w:ilvl w:val="0"/>
          <w:numId w:val="2"/>
        </w:numPr>
      </w:pPr>
      <w:r w:rsidRPr="00D13CFD">
        <w:t>prihod</w:t>
      </w:r>
      <w:r w:rsidR="005A6950" w:rsidRPr="00D13CFD">
        <w:t>e</w:t>
      </w:r>
      <w:r w:rsidR="00856234" w:rsidRPr="00D13CFD">
        <w:t xml:space="preserve"> od naknada</w:t>
      </w:r>
      <w:r w:rsidR="002A5274" w:rsidRPr="00D13CFD">
        <w:t xml:space="preserve"> za uslug</w:t>
      </w:r>
      <w:r w:rsidR="00415303" w:rsidRPr="00D13CFD">
        <w:t>u fakturiranja i naplate</w:t>
      </w:r>
      <w:r w:rsidR="00856234" w:rsidRPr="00D13CFD">
        <w:t xml:space="preserve"> </w:t>
      </w:r>
      <w:r w:rsidR="003F2E20" w:rsidRPr="00D13CFD">
        <w:t xml:space="preserve">u iznosu od </w:t>
      </w:r>
      <w:r w:rsidR="0070747B" w:rsidRPr="00D13CFD">
        <w:t>242.951</w:t>
      </w:r>
      <w:r w:rsidR="00860FFA" w:rsidRPr="00D13CFD">
        <w:t xml:space="preserve"> eura</w:t>
      </w:r>
      <w:r w:rsidR="00FC65F9" w:rsidRPr="00D13CFD">
        <w:t>;</w:t>
      </w:r>
    </w:p>
    <w:p w14:paraId="1E03A99C" w14:textId="0339030E" w:rsidR="0041063C" w:rsidRPr="000204D7" w:rsidRDefault="00794B04" w:rsidP="00A02495">
      <w:pPr>
        <w:pStyle w:val="Odlomakpopisa"/>
        <w:numPr>
          <w:ilvl w:val="0"/>
          <w:numId w:val="2"/>
        </w:numPr>
      </w:pPr>
      <w:r w:rsidRPr="00D13CFD">
        <w:t>prihod</w:t>
      </w:r>
      <w:r w:rsidR="005A6950" w:rsidRPr="00D13CFD">
        <w:t>e</w:t>
      </w:r>
      <w:r w:rsidRPr="00D13CFD">
        <w:t xml:space="preserve"> od ostalih usluga</w:t>
      </w:r>
      <w:r w:rsidR="001C46CF" w:rsidRPr="00D13CFD">
        <w:t xml:space="preserve"> vodoopskrba</w:t>
      </w:r>
      <w:r w:rsidRPr="00D13CFD">
        <w:t xml:space="preserve"> </w:t>
      </w:r>
      <w:r w:rsidR="001C46CF" w:rsidRPr="00D13CFD">
        <w:t>(posl.</w:t>
      </w:r>
      <w:r w:rsidR="00860FFA" w:rsidRPr="00D13CFD">
        <w:t xml:space="preserve"> suradnja, cisterne i</w:t>
      </w:r>
      <w:r w:rsidR="001C46CF" w:rsidRPr="00D13CFD">
        <w:t xml:space="preserve"> </w:t>
      </w:r>
      <w:r w:rsidR="00860FFA" w:rsidRPr="00D13CFD">
        <w:t xml:space="preserve">sl) </w:t>
      </w:r>
      <w:r w:rsidRPr="00D13CFD">
        <w:t xml:space="preserve">u iznosu od </w:t>
      </w:r>
      <w:r w:rsidR="00B86E0E" w:rsidRPr="00D13CFD">
        <w:t>67.181</w:t>
      </w:r>
      <w:r w:rsidR="00860FFA" w:rsidRPr="000204D7">
        <w:t xml:space="preserve"> eura;</w:t>
      </w:r>
    </w:p>
    <w:p w14:paraId="0D8E8D15" w14:textId="6E547E4E" w:rsidR="00860FFA" w:rsidRPr="000204D7" w:rsidRDefault="00860FFA" w:rsidP="00A02495">
      <w:pPr>
        <w:pStyle w:val="Odlomakpopisa"/>
        <w:numPr>
          <w:ilvl w:val="0"/>
          <w:numId w:val="2"/>
        </w:numPr>
      </w:pPr>
      <w:r w:rsidRPr="000204D7">
        <w:t xml:space="preserve">prihode od usluge odvodnje oborinskih voda u iznosu </w:t>
      </w:r>
      <w:r w:rsidR="00B86E0E">
        <w:t>617.555</w:t>
      </w:r>
      <w:r w:rsidRPr="000204D7">
        <w:t xml:space="preserve"> eura</w:t>
      </w:r>
    </w:p>
    <w:p w14:paraId="30C71614" w14:textId="6442E726" w:rsidR="00860FFA" w:rsidRPr="000204D7" w:rsidRDefault="00860FFA" w:rsidP="00A02495">
      <w:pPr>
        <w:pStyle w:val="Odlomakpopisa"/>
        <w:numPr>
          <w:ilvl w:val="0"/>
          <w:numId w:val="2"/>
        </w:numPr>
      </w:pPr>
      <w:r w:rsidRPr="000204D7">
        <w:t xml:space="preserve">prihode od prihvata i pročišćavanje fekalanih voda u iznosu </w:t>
      </w:r>
      <w:r w:rsidR="00B86E0E">
        <w:t>46.474</w:t>
      </w:r>
      <w:r w:rsidRPr="000204D7">
        <w:t xml:space="preserve"> eura;</w:t>
      </w:r>
    </w:p>
    <w:p w14:paraId="60A6C0A0" w14:textId="23A363CE" w:rsidR="00860FFA" w:rsidRPr="000204D7" w:rsidRDefault="00860FFA" w:rsidP="00A02495">
      <w:pPr>
        <w:pStyle w:val="Odlomakpopisa"/>
        <w:numPr>
          <w:ilvl w:val="0"/>
          <w:numId w:val="2"/>
        </w:numPr>
      </w:pPr>
      <w:r w:rsidRPr="000204D7">
        <w:t xml:space="preserve">prihodi od crpljenja, odvoza i zbrinjavanja fekalija u iznosu </w:t>
      </w:r>
      <w:r w:rsidR="00B86E0E">
        <w:t>72.658</w:t>
      </w:r>
      <w:r w:rsidRPr="000204D7">
        <w:t xml:space="preserve"> eura</w:t>
      </w:r>
    </w:p>
    <w:p w14:paraId="78389F46" w14:textId="7614EFD0" w:rsidR="00860FFA" w:rsidRPr="000204D7" w:rsidRDefault="00860FFA" w:rsidP="00A02495">
      <w:pPr>
        <w:pStyle w:val="Odlomakpopisa"/>
        <w:numPr>
          <w:ilvl w:val="0"/>
          <w:numId w:val="2"/>
        </w:numPr>
      </w:pPr>
      <w:r w:rsidRPr="000204D7">
        <w:t xml:space="preserve">prihoda od odštopavanja kanalizacije u iznosu </w:t>
      </w:r>
      <w:r w:rsidR="00B86E0E">
        <w:t>12.636</w:t>
      </w:r>
      <w:r w:rsidRPr="000204D7">
        <w:t xml:space="preserve"> eura</w:t>
      </w:r>
    </w:p>
    <w:p w14:paraId="2F4348E0" w14:textId="2D84D7F7" w:rsidR="00860FFA" w:rsidRPr="000204D7" w:rsidRDefault="00860FFA" w:rsidP="00A02495">
      <w:pPr>
        <w:pStyle w:val="Odlomakpopisa"/>
        <w:numPr>
          <w:ilvl w:val="0"/>
          <w:numId w:val="2"/>
        </w:numPr>
      </w:pPr>
      <w:r w:rsidRPr="000204D7">
        <w:t xml:space="preserve">ostale prihode s osnove usluge odvodnje u iznosu </w:t>
      </w:r>
      <w:r w:rsidR="00B86E0E">
        <w:t>45.541</w:t>
      </w:r>
      <w:r w:rsidRPr="000204D7">
        <w:t xml:space="preserve"> eura</w:t>
      </w:r>
    </w:p>
    <w:p w14:paraId="434F8A5F" w14:textId="77777777" w:rsidR="00860FFA" w:rsidRPr="000204D7" w:rsidRDefault="00860FFA" w:rsidP="00A02495">
      <w:pPr>
        <w:pStyle w:val="Odlomakpopisa"/>
        <w:numPr>
          <w:ilvl w:val="0"/>
          <w:numId w:val="2"/>
        </w:numPr>
      </w:pPr>
      <w:r w:rsidRPr="000204D7">
        <w:t>prihoda od zakupnine u iznosu 11.160 eura.</w:t>
      </w:r>
    </w:p>
    <w:p w14:paraId="5D7C45E9" w14:textId="77777777" w:rsidR="00860FFA" w:rsidRPr="000204D7" w:rsidRDefault="00860FFA" w:rsidP="00A02495"/>
    <w:p w14:paraId="17B2C9CA" w14:textId="288DF291" w:rsidR="0023488C" w:rsidRDefault="0023488C" w:rsidP="00A02495">
      <w:r>
        <w:t xml:space="preserve">U odnosu na prethodnu godinu prihodi od vodnih usluga javne vodoopskrbe stambenim prostorima bilježi povećanje od </w:t>
      </w:r>
      <w:r w:rsidR="00B243C0">
        <w:t>2,5</w:t>
      </w:r>
      <w:r>
        <w:t>% (137 tis</w:t>
      </w:r>
      <w:r w:rsidR="000148FA">
        <w:t>uća</w:t>
      </w:r>
      <w:r>
        <w:t xml:space="preserve"> eur</w:t>
      </w:r>
      <w:r w:rsidR="000148FA">
        <w:t>a</w:t>
      </w:r>
      <w:r>
        <w:t>), a prihodi od vodnih usluga javne vodoopskrbe poslovnim korisnicima bilježe povećanje od 5</w:t>
      </w:r>
      <w:r w:rsidR="00B243C0">
        <w:t>,</w:t>
      </w:r>
      <w:r w:rsidR="001075A8">
        <w:t>0</w:t>
      </w:r>
      <w:r>
        <w:t>% (</w:t>
      </w:r>
      <w:r w:rsidR="001075A8">
        <w:t>185</w:t>
      </w:r>
      <w:r>
        <w:t xml:space="preserve"> tis</w:t>
      </w:r>
      <w:r w:rsidR="000148FA">
        <w:t>uća</w:t>
      </w:r>
      <w:r>
        <w:t xml:space="preserve"> eur</w:t>
      </w:r>
      <w:r w:rsidR="000148FA">
        <w:t>a</w:t>
      </w:r>
      <w:r>
        <w:t>). Porast navedenih prihoda rezultat je veće količine isporučene i fakturirane vode</w:t>
      </w:r>
      <w:r w:rsidR="00F55875">
        <w:t xml:space="preserve">, kao i veći broj fakturiranih fiksnih naknada. </w:t>
      </w:r>
    </w:p>
    <w:p w14:paraId="74D98C83" w14:textId="77777777" w:rsidR="00B243C0" w:rsidRDefault="00B243C0" w:rsidP="00A02495"/>
    <w:p w14:paraId="3A3DED3A" w14:textId="427D666B" w:rsidR="00B243C0" w:rsidRPr="00B243C0" w:rsidRDefault="00B243C0" w:rsidP="00A02495">
      <w:pPr>
        <w:rPr>
          <w:highlight w:val="magenta"/>
        </w:rPr>
      </w:pPr>
      <w:r w:rsidRPr="00B243C0">
        <w:t xml:space="preserve">Prihodi od usluga odvodnje porasli su za </w:t>
      </w:r>
      <w:r w:rsidR="001075A8">
        <w:t>58,1</w:t>
      </w:r>
      <w:r w:rsidRPr="00B243C0">
        <w:t xml:space="preserve"> % </w:t>
      </w:r>
      <w:r w:rsidR="001075A8">
        <w:t>(69</w:t>
      </w:r>
      <w:r w:rsidR="00BF46F5">
        <w:t>9</w:t>
      </w:r>
      <w:r w:rsidR="001075A8">
        <w:t xml:space="preserve"> tisuća eura) </w:t>
      </w:r>
      <w:r w:rsidRPr="00B243C0">
        <w:t>u odnosu na prethodnu godinu, što je izravna posljedica pripajanja koje je stupilo na snagu 1. lipnja 2023. godine. Naime, dok je prošlogodišnji izvještaj obuhvaćao sedam mjeseci poslovanja u segmentu odvodnje, ovogodišnji prikaz uključuje cjelokupno dvanaestomjesečno razdoblje, čime je ostvaren nominalni rast prihoda na godišnjoj razini.</w:t>
      </w:r>
    </w:p>
    <w:p w14:paraId="26D05CCB" w14:textId="77777777" w:rsidR="00F37366" w:rsidRDefault="00F37366" w:rsidP="00A02495"/>
    <w:p w14:paraId="433F6831" w14:textId="69FE3AA6" w:rsidR="00F55875" w:rsidRDefault="00D12F44" w:rsidP="00A02495">
      <w:r w:rsidRPr="000204D7">
        <w:t xml:space="preserve">Prihodi od usluga izvođenja priključaka bilježe </w:t>
      </w:r>
      <w:r w:rsidR="00F55875">
        <w:t>povećanje od 18</w:t>
      </w:r>
      <w:r w:rsidR="001075A8">
        <w:t>,3</w:t>
      </w:r>
      <w:r w:rsidR="00F55875">
        <w:t>% (130 tis</w:t>
      </w:r>
      <w:r w:rsidR="000148FA">
        <w:t>uća</w:t>
      </w:r>
      <w:r w:rsidR="00F55875">
        <w:t xml:space="preserve"> eur</w:t>
      </w:r>
      <w:r w:rsidR="000148FA">
        <w:t>a</w:t>
      </w:r>
      <w:r w:rsidR="00F55875">
        <w:t>) u odnosu na prošlogodišnje izvještajno razdoblje, što se odnosi na prihode od usluge izvođenja priključaka za vodu.</w:t>
      </w:r>
    </w:p>
    <w:p w14:paraId="6158674D" w14:textId="77777777" w:rsidR="00F55875" w:rsidRDefault="00F55875" w:rsidP="00A02495"/>
    <w:p w14:paraId="308C3085" w14:textId="393487E3" w:rsidR="00B243C0" w:rsidRDefault="00B243C0" w:rsidP="00A02495">
      <w:r w:rsidRPr="00B243C0">
        <w:t xml:space="preserve">Prihodi od naknada za uslugu fakturiranja i naplate bilježe pad od </w:t>
      </w:r>
      <w:r w:rsidR="001075A8">
        <w:t>14,8</w:t>
      </w:r>
      <w:r w:rsidRPr="00B243C0">
        <w:t xml:space="preserve"> % u odnosu na isto razdoblje 2023. godine, s obzirom na to da je u razdoblju od 1. siječnja do 31. svibnja 2023. godine naknada obračunavana društvu Pragrande d.o.o., dok je uslijed pripajanja ta naknada u 2024. godini izostala</w:t>
      </w:r>
      <w:r>
        <w:t>.</w:t>
      </w:r>
    </w:p>
    <w:p w14:paraId="62591AF3" w14:textId="76079692" w:rsidR="00CC074F" w:rsidRPr="009013E3" w:rsidRDefault="00CC074F" w:rsidP="00A02495">
      <w:pPr>
        <w:rPr>
          <w:highlight w:val="magenta"/>
        </w:rPr>
      </w:pPr>
    </w:p>
    <w:p w14:paraId="3F2B84FE" w14:textId="28F45208" w:rsidR="00C379F7" w:rsidRPr="000148FA" w:rsidRDefault="00C379F7" w:rsidP="00A02495">
      <w:r w:rsidRPr="00B243C0">
        <w:rPr>
          <w:b/>
          <w:bCs/>
        </w:rPr>
        <w:t>Ostali poslovni prihodi</w:t>
      </w:r>
      <w:r w:rsidRPr="000148FA">
        <w:t xml:space="preserve"> iznose </w:t>
      </w:r>
      <w:r w:rsidR="000148FA" w:rsidRPr="000148FA">
        <w:t>4.</w:t>
      </w:r>
      <w:r w:rsidR="00D13CFD">
        <w:t>1</w:t>
      </w:r>
      <w:r w:rsidR="000148FA" w:rsidRPr="000148FA">
        <w:t>26.183</w:t>
      </w:r>
      <w:r w:rsidR="00C307BD" w:rsidRPr="000148FA">
        <w:t xml:space="preserve"> eura</w:t>
      </w:r>
      <w:r w:rsidRPr="000148FA">
        <w:t xml:space="preserve"> i veći su za </w:t>
      </w:r>
      <w:r w:rsidR="000148FA" w:rsidRPr="000148FA">
        <w:t>2</w:t>
      </w:r>
      <w:r w:rsidR="00D13CFD">
        <w:t>6</w:t>
      </w:r>
      <w:r w:rsidRPr="000148FA">
        <w:t xml:space="preserve">% u odnosu na </w:t>
      </w:r>
      <w:r w:rsidR="000148FA" w:rsidRPr="000148FA">
        <w:t>prethodnu godinu.</w:t>
      </w:r>
      <w:r w:rsidRPr="000148FA">
        <w:t xml:space="preserve"> </w:t>
      </w:r>
    </w:p>
    <w:p w14:paraId="0399D606" w14:textId="77777777" w:rsidR="00C379F7" w:rsidRPr="009013E3" w:rsidRDefault="00C379F7" w:rsidP="00A02495">
      <w:pPr>
        <w:rPr>
          <w:highlight w:val="magenta"/>
        </w:rPr>
      </w:pPr>
    </w:p>
    <w:p w14:paraId="1C233DC4" w14:textId="3A2B1D6A" w:rsidR="00F85C17" w:rsidRDefault="00F85C17" w:rsidP="00A02495">
      <w:r w:rsidRPr="00F85C17">
        <w:t xml:space="preserve">Prihodi od kompenzacija, subvencija, dotacija, refundacija i sl. </w:t>
      </w:r>
      <w:r>
        <w:t>iznose 3.</w:t>
      </w:r>
      <w:r w:rsidR="00211119">
        <w:t>7</w:t>
      </w:r>
      <w:r>
        <w:t>95.778 eura. B</w:t>
      </w:r>
      <w:r w:rsidRPr="00F85C17">
        <w:t>ilježe 3</w:t>
      </w:r>
      <w:r w:rsidR="00D13CFD">
        <w:t>5</w:t>
      </w:r>
      <w:r w:rsidRPr="00F85C17">
        <w:t>%- no povećanje u odnosu na prethodnu godin</w:t>
      </w:r>
      <w:r>
        <w:t>u, a odnose se na:</w:t>
      </w:r>
    </w:p>
    <w:p w14:paraId="4F0DB47B" w14:textId="5FCEFF05" w:rsidR="000148FA" w:rsidRDefault="00B243C0" w:rsidP="0094608E">
      <w:pPr>
        <w:pStyle w:val="Odlomakpopisa"/>
        <w:numPr>
          <w:ilvl w:val="0"/>
          <w:numId w:val="13"/>
        </w:numPr>
        <w:ind w:left="284" w:hanging="284"/>
      </w:pPr>
      <w:r>
        <w:t>p</w:t>
      </w:r>
      <w:r w:rsidR="00F85C17">
        <w:t>rihode od potpora za materijalnu imovinu (</w:t>
      </w:r>
      <w:r w:rsidR="00F85C17" w:rsidRPr="0070031B">
        <w:t>oprihodovani dio potpora s osnova ulaganja u izgradnju mreže u razdoblju od 1995. do 202</w:t>
      </w:r>
      <w:r w:rsidR="00D13CFD">
        <w:t>4</w:t>
      </w:r>
      <w:r w:rsidR="00F85C17" w:rsidRPr="0070031B">
        <w:t>. godine od strane Hrvatskih voda Zagreb, EU Fondova, drugih pravnih osoba, jedinica lokalne samouprave i građana, te oprihodovani dio naknade za razvoj javne vodoopskrbe i javne odvodnje)</w:t>
      </w:r>
      <w:r w:rsidR="00F85C17">
        <w:t xml:space="preserve">u iznosu od </w:t>
      </w:r>
      <w:r w:rsidR="00211119">
        <w:t>3.335.648</w:t>
      </w:r>
      <w:r w:rsidR="0070031B">
        <w:t xml:space="preserve"> eura</w:t>
      </w:r>
    </w:p>
    <w:p w14:paraId="0DF17F25" w14:textId="5997C22C" w:rsidR="00F85C17" w:rsidRDefault="00B243C0" w:rsidP="0094608E">
      <w:pPr>
        <w:pStyle w:val="Odlomakpopisa"/>
        <w:numPr>
          <w:ilvl w:val="0"/>
          <w:numId w:val="13"/>
        </w:numPr>
        <w:ind w:left="284" w:hanging="284"/>
      </w:pPr>
      <w:r>
        <w:t>p</w:t>
      </w:r>
      <w:r w:rsidR="00F85C17">
        <w:t xml:space="preserve">rihode od sufinanciranja razlike do cijene vodnih usluga za socijalno ugrožene građane u iznosu od </w:t>
      </w:r>
      <w:r w:rsidR="0070031B">
        <w:t>9.261 eura</w:t>
      </w:r>
    </w:p>
    <w:p w14:paraId="023CDC11" w14:textId="76077C71" w:rsidR="00F85C17" w:rsidRPr="00F85C17" w:rsidRDefault="00B243C0" w:rsidP="0094608E">
      <w:pPr>
        <w:pStyle w:val="Odlomakpopisa"/>
        <w:numPr>
          <w:ilvl w:val="0"/>
          <w:numId w:val="13"/>
        </w:numPr>
        <w:ind w:left="284" w:hanging="284"/>
      </w:pPr>
      <w:r>
        <w:t>p</w:t>
      </w:r>
      <w:r w:rsidR="00F85C17">
        <w:t xml:space="preserve">rihode od potpora za umanjenje cijene električne energije u iznosu od </w:t>
      </w:r>
      <w:r w:rsidR="0070031B">
        <w:t>450.880 eura</w:t>
      </w:r>
    </w:p>
    <w:p w14:paraId="646BC93B" w14:textId="77777777" w:rsidR="00F85C17" w:rsidRDefault="00F85C17" w:rsidP="00A02495">
      <w:pPr>
        <w:rPr>
          <w:highlight w:val="magenta"/>
        </w:rPr>
      </w:pPr>
    </w:p>
    <w:p w14:paraId="276A6445" w14:textId="3A2791CA" w:rsidR="000736C4" w:rsidRPr="000148FA" w:rsidRDefault="000736C4" w:rsidP="00A02495">
      <w:r w:rsidRPr="000148FA">
        <w:t xml:space="preserve">Uslijed ukidanja </w:t>
      </w:r>
      <w:r w:rsidRPr="00BF46F5">
        <w:rPr>
          <w:b/>
          <w:bCs/>
        </w:rPr>
        <w:t>rezerviranja</w:t>
      </w:r>
      <w:r w:rsidRPr="000148FA">
        <w:t xml:space="preserve"> za neiskorišteni godišnji odmor</w:t>
      </w:r>
      <w:r w:rsidR="002A76FF" w:rsidRPr="000148FA">
        <w:t>, otpremnine zbog odlaska u mirovinu, i jubilarne nagrade</w:t>
      </w:r>
      <w:r w:rsidRPr="000148FA">
        <w:t xml:space="preserve"> (za 20</w:t>
      </w:r>
      <w:r w:rsidR="007D4A82" w:rsidRPr="000148FA">
        <w:t>2</w:t>
      </w:r>
      <w:r w:rsidR="000148FA" w:rsidRPr="000148FA">
        <w:t>3</w:t>
      </w:r>
      <w:r w:rsidRPr="000148FA">
        <w:t xml:space="preserve">. godinu) ostvareni su prihodi </w:t>
      </w:r>
      <w:r w:rsidR="00CF7287" w:rsidRPr="000148FA">
        <w:t xml:space="preserve">u izvještajnoj godini </w:t>
      </w:r>
      <w:r w:rsidRPr="000148FA">
        <w:t xml:space="preserve">u iznosu od </w:t>
      </w:r>
      <w:r w:rsidR="000148FA" w:rsidRPr="000148FA">
        <w:t>330.405</w:t>
      </w:r>
      <w:r w:rsidR="00CF7287" w:rsidRPr="000148FA">
        <w:t xml:space="preserve">, </w:t>
      </w:r>
      <w:r w:rsidR="000148FA" w:rsidRPr="000148FA">
        <w:t>što je za 27% manje u odnosu na prethodnu godinu.</w:t>
      </w:r>
    </w:p>
    <w:p w14:paraId="37957386" w14:textId="77777777" w:rsidR="000736C4" w:rsidRPr="009013E3" w:rsidRDefault="000736C4" w:rsidP="00A02495">
      <w:pPr>
        <w:rPr>
          <w:highlight w:val="magenta"/>
        </w:rPr>
      </w:pPr>
    </w:p>
    <w:p w14:paraId="7F6C9B83" w14:textId="62F047E6" w:rsidR="00916C54" w:rsidRDefault="006C264B" w:rsidP="00A02495">
      <w:r w:rsidRPr="00916C54">
        <w:rPr>
          <w:b/>
        </w:rPr>
        <w:t>Financijski prihodi</w:t>
      </w:r>
      <w:r w:rsidRPr="00916C54">
        <w:t xml:space="preserve"> ostvareni su</w:t>
      </w:r>
      <w:r w:rsidR="00A12069" w:rsidRPr="00916C54">
        <w:t xml:space="preserve"> u iznosu od </w:t>
      </w:r>
      <w:r w:rsidR="00916C54">
        <w:t>287.</w:t>
      </w:r>
      <w:r w:rsidR="00B243C0">
        <w:t>961</w:t>
      </w:r>
      <w:r w:rsidR="00A12D57" w:rsidRPr="00916C54">
        <w:t xml:space="preserve"> eura</w:t>
      </w:r>
      <w:r w:rsidR="00916C54">
        <w:t>, a odnose se na prihode od redovnih kamata po osnovi depozita u iznosu od 228.198 eura, na prihode od zateznih kamata u iznosu od 59.344 eura</w:t>
      </w:r>
      <w:r w:rsidR="00B243C0">
        <w:t>, te na ostale financijske prihode u iznosu od 419 eura.</w:t>
      </w:r>
    </w:p>
    <w:p w14:paraId="31DA1D73" w14:textId="77777777" w:rsidR="00916C54" w:rsidRDefault="00916C54" w:rsidP="00A02495"/>
    <w:p w14:paraId="29FD652B" w14:textId="04AD6D32" w:rsidR="00EA5C89" w:rsidRPr="0070031B" w:rsidRDefault="006C264B" w:rsidP="00A02495">
      <w:pPr>
        <w:rPr>
          <w:color w:val="FF0000"/>
        </w:rPr>
      </w:pPr>
      <w:r w:rsidRPr="0070031B">
        <w:rPr>
          <w:b/>
        </w:rPr>
        <w:t xml:space="preserve">Ostali prihodi </w:t>
      </w:r>
      <w:r w:rsidRPr="0070031B">
        <w:t>(</w:t>
      </w:r>
      <w:r w:rsidR="00211119">
        <w:t>7</w:t>
      </w:r>
      <w:r w:rsidR="0070031B" w:rsidRPr="0070031B">
        <w:t>13.664</w:t>
      </w:r>
      <w:r w:rsidR="00EE2AB2" w:rsidRPr="0070031B">
        <w:t xml:space="preserve"> eura</w:t>
      </w:r>
      <w:r w:rsidRPr="0070031B">
        <w:t xml:space="preserve">) obuhvaćaju prihode od prodaje </w:t>
      </w:r>
      <w:r w:rsidR="0070031B" w:rsidRPr="0070031B">
        <w:t>dugotrajne materijalne i nematerijalne imovine (7.623 eura)</w:t>
      </w:r>
      <w:r w:rsidRPr="0070031B">
        <w:t>,</w:t>
      </w:r>
      <w:r w:rsidR="0070031B" w:rsidRPr="0070031B">
        <w:t xml:space="preserve"> prihode od prodaje sirovina, materijala, rezervnih dijelova i sitnog inventara (13.126 eura), prihode od otpisa obveza (</w:t>
      </w:r>
      <w:r w:rsidR="00211119">
        <w:t>4</w:t>
      </w:r>
      <w:r w:rsidR="0070031B" w:rsidRPr="0070031B">
        <w:t>54.753 eura),</w:t>
      </w:r>
      <w:r w:rsidR="0070031B">
        <w:t xml:space="preserve"> </w:t>
      </w:r>
      <w:r w:rsidRPr="0070031B">
        <w:t>utvrđene viškove (</w:t>
      </w:r>
      <w:r w:rsidR="0070031B" w:rsidRPr="0070031B">
        <w:t>97</w:t>
      </w:r>
      <w:r w:rsidR="00EE2AB2" w:rsidRPr="0070031B">
        <w:t xml:space="preserve"> eura</w:t>
      </w:r>
      <w:r w:rsidRPr="0070031B">
        <w:t xml:space="preserve">), prihode od naplaćenih potraživanja otpisanih u prethodnim razdobljima </w:t>
      </w:r>
      <w:r w:rsidR="003352D0" w:rsidRPr="0070031B">
        <w:t>(</w:t>
      </w:r>
      <w:r w:rsidR="0070031B" w:rsidRPr="0070031B">
        <w:t>118.914</w:t>
      </w:r>
      <w:r w:rsidR="00EE2AB2" w:rsidRPr="0070031B">
        <w:t xml:space="preserve"> eura</w:t>
      </w:r>
      <w:r w:rsidR="003352D0" w:rsidRPr="0070031B">
        <w:t>) te ostale izvanredne prihode (</w:t>
      </w:r>
      <w:r w:rsidR="0070031B" w:rsidRPr="0070031B">
        <w:t>119.151</w:t>
      </w:r>
      <w:r w:rsidR="00EE2AB2" w:rsidRPr="0070031B">
        <w:t xml:space="preserve"> eura</w:t>
      </w:r>
      <w:r w:rsidR="003352D0" w:rsidRPr="0070031B">
        <w:t>).</w:t>
      </w:r>
      <w:r w:rsidR="00EA5C89" w:rsidRPr="0070031B">
        <w:t xml:space="preserve"> </w:t>
      </w:r>
    </w:p>
    <w:p w14:paraId="2FAC2762" w14:textId="77777777" w:rsidR="0084613A" w:rsidRPr="00FA7A96" w:rsidRDefault="00CC0F61" w:rsidP="00A02495">
      <w:r w:rsidRPr="0070031B">
        <w:lastRenderedPageBreak/>
        <w:t>Prihod</w:t>
      </w:r>
      <w:r w:rsidR="007612F6" w:rsidRPr="0070031B">
        <w:t xml:space="preserve"> od naplaćenih potraživanja otpisanih u prethodnim razdobljima</w:t>
      </w:r>
      <w:r w:rsidR="00501A5E" w:rsidRPr="0070031B">
        <w:t xml:space="preserve"> odnosi se na naplatu</w:t>
      </w:r>
      <w:r w:rsidR="00BB1844" w:rsidRPr="0070031B">
        <w:t xml:space="preserve"> </w:t>
      </w:r>
      <w:r w:rsidR="00BB1844" w:rsidRPr="0070031B">
        <w:rPr>
          <w:rFonts w:eastAsia="Times New Roman" w:cs="Cambria"/>
          <w:lang w:eastAsia="hr-HR"/>
        </w:rPr>
        <w:t>potraživanja prethodno otpisanih potraživanja.</w:t>
      </w:r>
    </w:p>
    <w:p w14:paraId="7A6FAF58" w14:textId="77777777" w:rsidR="000B7D5D" w:rsidRPr="00501A5E" w:rsidRDefault="000B7D5D" w:rsidP="00A02495"/>
    <w:p w14:paraId="7A5B862E" w14:textId="0124F20B" w:rsidR="000B7D5D" w:rsidRDefault="000C2B8D" w:rsidP="00A02495">
      <w:r w:rsidRPr="000C2B8D">
        <w:t>Prihod od otpisa obveza odnosi se najvećim dijelom na otpis fakturiranih, a nenaplaćenih vodnih naknada (naknada za korištenje voda, naknada za zaštitu voda, naknada za razvoj sustava javne vodoopskrbe, naknada za razvoj sustava javne odvodnje i sl.), koje su na poziciji kratkoročnih obveza bile iskazane u većem iznosu od njihovog udjela u strukturi izlaznih računa za vodne usluge, iskazanih na poziciji kratkoročnih potraživanja  - potraživanja od kupaca.</w:t>
      </w:r>
    </w:p>
    <w:p w14:paraId="4B31A1E2" w14:textId="77777777" w:rsidR="000C2B8D" w:rsidRPr="009013E3" w:rsidRDefault="000C2B8D" w:rsidP="00A02495">
      <w:pPr>
        <w:rPr>
          <w:highlight w:val="magenta"/>
        </w:rPr>
      </w:pPr>
    </w:p>
    <w:p w14:paraId="071F4B51" w14:textId="782C5986" w:rsidR="009F00E7" w:rsidRPr="009F00E7" w:rsidRDefault="00C2723E" w:rsidP="00A02495">
      <w:r w:rsidRPr="009F00E7">
        <w:t>Ostali izvanredni prihodi podrazumijevaju p</w:t>
      </w:r>
      <w:r w:rsidR="00FA7A96" w:rsidRPr="009F00E7">
        <w:t xml:space="preserve">rihode po osnovu </w:t>
      </w:r>
      <w:r w:rsidR="00C4390C" w:rsidRPr="009F00E7">
        <w:t xml:space="preserve">naplate štete s temelja osiguranja u iznosu </w:t>
      </w:r>
      <w:r w:rsidR="009F00E7" w:rsidRPr="009F00E7">
        <w:t>12.825</w:t>
      </w:r>
      <w:r w:rsidR="00EE2AB2" w:rsidRPr="009F00E7">
        <w:t xml:space="preserve"> eura</w:t>
      </w:r>
      <w:r w:rsidR="00C4390C" w:rsidRPr="009F00E7">
        <w:t xml:space="preserve">, ostalih prihoda po osnovu </w:t>
      </w:r>
      <w:r w:rsidR="00FA7A96" w:rsidRPr="009F00E7">
        <w:t>troškova</w:t>
      </w:r>
      <w:r w:rsidR="006A4DAB" w:rsidRPr="009F00E7">
        <w:t xml:space="preserve"> pokrenutih </w:t>
      </w:r>
      <w:r w:rsidR="00FA7A96" w:rsidRPr="009F00E7">
        <w:t>ovrh</w:t>
      </w:r>
      <w:r w:rsidR="006A4DAB" w:rsidRPr="009F00E7">
        <w:t>a</w:t>
      </w:r>
      <w:r w:rsidR="00FA7A96" w:rsidRPr="009F00E7">
        <w:t xml:space="preserve"> u iznosu </w:t>
      </w:r>
      <w:r w:rsidR="009F00E7" w:rsidRPr="009F00E7">
        <w:t>19.654</w:t>
      </w:r>
      <w:r w:rsidR="00EE2AB2" w:rsidRPr="009F00E7">
        <w:t xml:space="preserve"> eura, prihoda iz prethodnih godina u iznosu </w:t>
      </w:r>
      <w:r w:rsidR="009F00E7" w:rsidRPr="009F00E7">
        <w:t>5.043</w:t>
      </w:r>
      <w:r w:rsidR="00EE2AB2" w:rsidRPr="009F00E7">
        <w:t xml:space="preserve"> eura</w:t>
      </w:r>
      <w:r w:rsidR="009F00E7" w:rsidRPr="009F00E7">
        <w:t>, prihoda od prefakturiranih troškova održavanja Butoniške linije V</w:t>
      </w:r>
      <w:r w:rsidR="0007586D">
        <w:t>S</w:t>
      </w:r>
      <w:r w:rsidR="009F00E7" w:rsidRPr="009F00E7">
        <w:t>I Butonigi d.o.o. prema Ankesu 1</w:t>
      </w:r>
      <w:r w:rsidR="009F00E7">
        <w:t>2</w:t>
      </w:r>
      <w:r w:rsidR="009F00E7" w:rsidRPr="009F00E7">
        <w:t xml:space="preserve">. Ugovora o poslovnoj suradnji za korištenje, upravljanje i održavanje sustava Butoniga za 2024. godinu u iznosu od 74.768 eura, te ostalih prihoda u iznosu od 6.860 eura. </w:t>
      </w:r>
    </w:p>
    <w:p w14:paraId="608B9820" w14:textId="77777777" w:rsidR="00501A5E" w:rsidRDefault="00501A5E" w:rsidP="00A02495"/>
    <w:p w14:paraId="6657EF72" w14:textId="77777777" w:rsidR="00637ABA" w:rsidRDefault="00637ABA" w:rsidP="00A02495"/>
    <w:tbl>
      <w:tblPr>
        <w:tblW w:w="9062" w:type="dxa"/>
        <w:tblLayout w:type="fixed"/>
        <w:tblCellMar>
          <w:left w:w="10" w:type="dxa"/>
          <w:right w:w="10" w:type="dxa"/>
        </w:tblCellMar>
        <w:tblLook w:val="04A0" w:firstRow="1" w:lastRow="0" w:firstColumn="1" w:lastColumn="0" w:noHBand="0" w:noVBand="1"/>
      </w:tblPr>
      <w:tblGrid>
        <w:gridCol w:w="9062"/>
      </w:tblGrid>
      <w:tr w:rsidR="00F57847" w14:paraId="001E9012" w14:textId="77777777" w:rsidTr="0007586D">
        <w:trPr>
          <w:trHeight w:val="397"/>
        </w:trPr>
        <w:tc>
          <w:tcPr>
            <w:tcW w:w="9062" w:type="dxa"/>
            <w:shd w:val="clear" w:color="auto" w:fill="E7E7FF"/>
            <w:tcMar>
              <w:top w:w="0" w:type="dxa"/>
              <w:left w:w="108" w:type="dxa"/>
              <w:bottom w:w="0" w:type="dxa"/>
              <w:right w:w="108" w:type="dxa"/>
            </w:tcMar>
            <w:vAlign w:val="center"/>
          </w:tcPr>
          <w:p w14:paraId="5689D0DD" w14:textId="77777777" w:rsidR="00F57847" w:rsidRDefault="00F57847" w:rsidP="00F57847">
            <w:pPr>
              <w:pStyle w:val="Standard"/>
              <w:spacing w:after="0"/>
              <w:rPr>
                <w:rFonts w:ascii="Cambria" w:hAnsi="Cambria" w:cs="Arial"/>
                <w:b/>
                <w:color w:val="262626"/>
                <w:lang w:eastAsia="en-US"/>
              </w:rPr>
            </w:pPr>
            <w:r>
              <w:rPr>
                <w:rFonts w:ascii="Cambria" w:hAnsi="Cambria" w:cs="Arial"/>
                <w:b/>
                <w:color w:val="262626"/>
                <w:lang w:eastAsia="en-US"/>
              </w:rPr>
              <w:t xml:space="preserve">Rashodi </w:t>
            </w:r>
          </w:p>
        </w:tc>
      </w:tr>
    </w:tbl>
    <w:p w14:paraId="2F89B797" w14:textId="77777777" w:rsidR="00530CC9" w:rsidRPr="007229CE" w:rsidRDefault="00530CC9" w:rsidP="00A02495">
      <w:r w:rsidRPr="007229CE">
        <w:tab/>
      </w:r>
      <w:r w:rsidRPr="007229CE">
        <w:tab/>
      </w:r>
      <w:r w:rsidRPr="007229CE">
        <w:tab/>
      </w:r>
      <w:r w:rsidRPr="007229CE">
        <w:tab/>
      </w:r>
      <w:r w:rsidRPr="007229CE">
        <w:tab/>
      </w:r>
      <w:r w:rsidRPr="007229CE">
        <w:tab/>
      </w:r>
      <w:r w:rsidRPr="007229CE">
        <w:tab/>
      </w:r>
    </w:p>
    <w:p w14:paraId="63CD83EF" w14:textId="0E17E468" w:rsidR="00C73112" w:rsidRDefault="00C73112" w:rsidP="00A02495">
      <w:r>
        <w:t xml:space="preserve">U 2024. godini Društvo je ostvarilo </w:t>
      </w:r>
      <w:r w:rsidRPr="00C73112">
        <w:rPr>
          <w:b/>
          <w:bCs/>
        </w:rPr>
        <w:t>18.</w:t>
      </w:r>
      <w:r w:rsidR="00C66873">
        <w:rPr>
          <w:b/>
          <w:bCs/>
        </w:rPr>
        <w:t>472.839</w:t>
      </w:r>
      <w:r w:rsidRPr="00C73112">
        <w:rPr>
          <w:b/>
          <w:bCs/>
        </w:rPr>
        <w:t xml:space="preserve"> eura</w:t>
      </w:r>
      <w:r>
        <w:t xml:space="preserve"> rashoda, što predstavlja 18%-no povećanje u odnosu na prethodnu godinu.</w:t>
      </w:r>
    </w:p>
    <w:p w14:paraId="4118281B" w14:textId="77777777" w:rsidR="006B2EFE" w:rsidRPr="00C73112" w:rsidRDefault="006B2EFE" w:rsidP="00A02495"/>
    <w:p w14:paraId="56C7651B" w14:textId="0C537CE4" w:rsidR="00D04768" w:rsidRPr="00C73112" w:rsidRDefault="00D04768" w:rsidP="00A02495">
      <w:r w:rsidRPr="00D646A0">
        <w:rPr>
          <w:b/>
          <w:bCs/>
        </w:rPr>
        <w:t>Poslovni rashodi</w:t>
      </w:r>
      <w:r w:rsidRPr="00C73112">
        <w:t xml:space="preserve"> iznose </w:t>
      </w:r>
      <w:r w:rsidR="00C73112">
        <w:t>18.</w:t>
      </w:r>
      <w:r w:rsidR="00C66873">
        <w:t>253</w:t>
      </w:r>
      <w:r w:rsidR="00C73112">
        <w:t>.</w:t>
      </w:r>
      <w:r w:rsidR="00C66873">
        <w:t>827</w:t>
      </w:r>
      <w:r w:rsidRPr="00C73112">
        <w:t xml:space="preserve"> eura i čine 99% ukupnih rashoda. U promatranom razdoblju veći su za </w:t>
      </w:r>
      <w:r w:rsidR="00C73112">
        <w:t>1</w:t>
      </w:r>
      <w:r w:rsidR="00C66873">
        <w:t>9</w:t>
      </w:r>
      <w:r w:rsidRPr="00C73112">
        <w:t xml:space="preserve">% </w:t>
      </w:r>
      <w:r w:rsidR="00B80A66">
        <w:t>(</w:t>
      </w:r>
      <w:r w:rsidRPr="00C73112">
        <w:t xml:space="preserve"> </w:t>
      </w:r>
      <w:r w:rsidR="00C73112">
        <w:t>2,</w:t>
      </w:r>
      <w:r w:rsidR="00C66873">
        <w:t>9</w:t>
      </w:r>
      <w:r w:rsidR="00C73112">
        <w:t xml:space="preserve"> mil </w:t>
      </w:r>
      <w:r w:rsidRPr="00C73112">
        <w:t>eura) u odnosu na 202</w:t>
      </w:r>
      <w:r w:rsidR="00C73112">
        <w:t>3</w:t>
      </w:r>
      <w:r w:rsidRPr="00C73112">
        <w:t xml:space="preserve">. godinu. </w:t>
      </w:r>
    </w:p>
    <w:p w14:paraId="3A7E99B8" w14:textId="77777777" w:rsidR="00D04768" w:rsidRPr="00C73112" w:rsidRDefault="00D04768" w:rsidP="00A02495"/>
    <w:p w14:paraId="037CFBB4" w14:textId="64D712C0" w:rsidR="00C73112" w:rsidRDefault="00FB5A82" w:rsidP="00A02495">
      <w:r w:rsidRPr="00AE5219">
        <w:rPr>
          <w:b/>
          <w:bCs/>
        </w:rPr>
        <w:t>Materijalni troškovi</w:t>
      </w:r>
      <w:r w:rsidRPr="00C73112">
        <w:t xml:space="preserve"> </w:t>
      </w:r>
      <w:r w:rsidR="00EE625A" w:rsidRPr="00C73112">
        <w:t>(</w:t>
      </w:r>
      <w:r w:rsidR="00C73112">
        <w:t>4.049.522</w:t>
      </w:r>
      <w:r w:rsidR="00EE2AB2" w:rsidRPr="00C73112">
        <w:t xml:space="preserve"> eura</w:t>
      </w:r>
      <w:r w:rsidR="00EE625A" w:rsidRPr="00C73112">
        <w:t xml:space="preserve">) bilježe </w:t>
      </w:r>
      <w:r w:rsidR="006B2EFE" w:rsidRPr="00C73112">
        <w:t>povećanje</w:t>
      </w:r>
      <w:r w:rsidR="00B80A66">
        <w:t xml:space="preserve"> od 11% (390 tisuća</w:t>
      </w:r>
      <w:r w:rsidR="00B80A66" w:rsidRPr="00C73112">
        <w:t xml:space="preserve"> eura</w:t>
      </w:r>
      <w:r w:rsidR="00B80A66">
        <w:t>)</w:t>
      </w:r>
      <w:r w:rsidR="006B2EFE" w:rsidRPr="00C73112">
        <w:t xml:space="preserve"> u odnosu na prethodnu godinu</w:t>
      </w:r>
      <w:r w:rsidR="00C73112">
        <w:t>. Povećanje je prisutno u okviru svih pozicija, a vrijednosno najznačajnije je na poziciji troška energije (povećanje od 8%, odnosno 137 tis</w:t>
      </w:r>
      <w:r w:rsidR="00BB1037">
        <w:t>uća</w:t>
      </w:r>
      <w:r w:rsidR="00C73112">
        <w:t xml:space="preserve"> eura), utrošenog materijala i sirovina u osnovnoj djelatnosti (povećanje od 12%, odnosno 123 tis</w:t>
      </w:r>
      <w:r w:rsidR="00BB1037">
        <w:t>uća</w:t>
      </w:r>
      <w:r w:rsidR="00C73112">
        <w:t xml:space="preserve"> eur</w:t>
      </w:r>
      <w:r w:rsidR="00D13CFD">
        <w:t>a</w:t>
      </w:r>
      <w:r w:rsidR="00C73112">
        <w:t>), utrošenog materijala i rezervnih dijelova za održavanje (povećanje od 12%, odnosno 79 tis</w:t>
      </w:r>
      <w:r w:rsidR="00BB1037">
        <w:t>uća</w:t>
      </w:r>
      <w:r w:rsidR="00C73112">
        <w:t xml:space="preserve"> eur</w:t>
      </w:r>
      <w:r w:rsidR="00D13CFD">
        <w:t>a</w:t>
      </w:r>
      <w:r w:rsidR="00C73112">
        <w:t>).</w:t>
      </w:r>
    </w:p>
    <w:p w14:paraId="2F8D14D7" w14:textId="77777777" w:rsidR="00C73112" w:rsidRDefault="00C73112" w:rsidP="00A02495"/>
    <w:p w14:paraId="0D6287A8" w14:textId="77777777" w:rsidR="0007586D" w:rsidRDefault="00B34899" w:rsidP="006A729E">
      <w:r>
        <w:t xml:space="preserve">Tijekom promatranog razdoblja </w:t>
      </w:r>
      <w:r w:rsidR="00D13CFD">
        <w:t>realizirani</w:t>
      </w:r>
      <w:r>
        <w:t xml:space="preserve"> su </w:t>
      </w:r>
      <w:r w:rsidRPr="00AE5219">
        <w:rPr>
          <w:b/>
          <w:bCs/>
        </w:rPr>
        <w:t>troškovi usluga</w:t>
      </w:r>
      <w:r>
        <w:t xml:space="preserve"> u iznosu od </w:t>
      </w:r>
      <w:r w:rsidR="00C66873">
        <w:t>2.428.209</w:t>
      </w:r>
      <w:r>
        <w:t xml:space="preserve"> eura. U odnosu na 2023. godinu bilježe povećanje od 9%, odnosno 20</w:t>
      </w:r>
      <w:r w:rsidR="00C66873">
        <w:t>7</w:t>
      </w:r>
      <w:r>
        <w:t xml:space="preserve"> tis</w:t>
      </w:r>
      <w:r w:rsidR="00D646A0">
        <w:t>uća</w:t>
      </w:r>
      <w:r>
        <w:t xml:space="preserve"> eura. </w:t>
      </w:r>
    </w:p>
    <w:p w14:paraId="0EC71240" w14:textId="77777777" w:rsidR="0007586D" w:rsidRDefault="00922AC5" w:rsidP="0094608E">
      <w:pPr>
        <w:pStyle w:val="Odlomakpopisa"/>
        <w:numPr>
          <w:ilvl w:val="0"/>
          <w:numId w:val="15"/>
        </w:numPr>
      </w:pPr>
      <w:r w:rsidRPr="00F730AB">
        <w:t>Troškovi prijevoza i telekomunikacija (230</w:t>
      </w:r>
      <w:r w:rsidR="00BB1037">
        <w:t>.004</w:t>
      </w:r>
      <w:r w:rsidRPr="00F730AB">
        <w:t xml:space="preserve"> eura) veći su u odnosu </w:t>
      </w:r>
      <w:r w:rsidR="00382C08" w:rsidRPr="00F730AB">
        <w:t>na prethodnu godinu za 33%, odnosno za 57 tis</w:t>
      </w:r>
      <w:r w:rsidR="0007586D">
        <w:t>uća</w:t>
      </w:r>
      <w:r w:rsidR="00382C08" w:rsidRPr="00F730AB">
        <w:t xml:space="preserve"> eura kao rezultat povećanja troškova poštanskih usluga. </w:t>
      </w:r>
    </w:p>
    <w:p w14:paraId="71414662" w14:textId="77777777" w:rsidR="0007586D" w:rsidRDefault="00382C08" w:rsidP="0094608E">
      <w:pPr>
        <w:pStyle w:val="Odlomakpopisa"/>
        <w:numPr>
          <w:ilvl w:val="0"/>
          <w:numId w:val="15"/>
        </w:numPr>
      </w:pPr>
      <w:r w:rsidRPr="00F730AB">
        <w:t xml:space="preserve">Troškovi komunalnih usluga </w:t>
      </w:r>
      <w:r w:rsidR="00F730AB">
        <w:t>(</w:t>
      </w:r>
      <w:r w:rsidR="00BB1037">
        <w:t>186.584</w:t>
      </w:r>
      <w:r w:rsidRPr="00F730AB">
        <w:t xml:space="preserve"> eura) veći su u odnosu na prethodnu godinu za 29%, odnosno 42 tis</w:t>
      </w:r>
      <w:r w:rsidR="00D13CFD">
        <w:t>uć</w:t>
      </w:r>
      <w:r w:rsidR="0007586D">
        <w:t>a</w:t>
      </w:r>
      <w:r w:rsidRPr="00F730AB">
        <w:t xml:space="preserve"> eura. </w:t>
      </w:r>
      <w:r w:rsidR="00F730AB" w:rsidRPr="00F730AB">
        <w:t xml:space="preserve"> Razlog tome je trošak odvoza i obrade neopasnog otpada iz sustava odvodnje i pročišćavanja otpadnih voda.</w:t>
      </w:r>
      <w:r w:rsidR="00F730AB">
        <w:t xml:space="preserve"> </w:t>
      </w:r>
    </w:p>
    <w:p w14:paraId="65A10AE9" w14:textId="77777777" w:rsidR="0007586D" w:rsidRDefault="00F730AB" w:rsidP="0094608E">
      <w:pPr>
        <w:pStyle w:val="Odlomakpopisa"/>
        <w:numPr>
          <w:ilvl w:val="0"/>
          <w:numId w:val="15"/>
        </w:numPr>
      </w:pPr>
      <w:r>
        <w:t>Troškovi premija osiguranja (11</w:t>
      </w:r>
      <w:r w:rsidR="00C66873">
        <w:t>8</w:t>
      </w:r>
      <w:r w:rsidR="00BB1037">
        <w:t>.667</w:t>
      </w:r>
      <w:r>
        <w:t xml:space="preserve"> eura) bilježe </w:t>
      </w:r>
      <w:r w:rsidR="00C66873">
        <w:t>63</w:t>
      </w:r>
      <w:r>
        <w:t xml:space="preserve">%-no povećanje u odnosu na prethodnu godinu uslijed većih troškova osiguranja imovine, osiguranja od odgovornosti te osiguranja u slučaju nezgoda. </w:t>
      </w:r>
    </w:p>
    <w:p w14:paraId="3BA60F37" w14:textId="77777777" w:rsidR="0007586D" w:rsidRDefault="005D2289" w:rsidP="0094608E">
      <w:pPr>
        <w:pStyle w:val="Odlomakpopisa"/>
        <w:numPr>
          <w:ilvl w:val="0"/>
          <w:numId w:val="15"/>
        </w:numPr>
      </w:pPr>
      <w:r>
        <w:t xml:space="preserve">Troškovi usluga održavanja </w:t>
      </w:r>
      <w:r w:rsidR="00BB1037">
        <w:t xml:space="preserve">(923.913 eura) </w:t>
      </w:r>
      <w:r>
        <w:t xml:space="preserve">bilježe 15%-no smanjenje u odnosu na prethodnu godinu, </w:t>
      </w:r>
      <w:r w:rsidR="005A1D8E">
        <w:t xml:space="preserve">većim dijelom </w:t>
      </w:r>
      <w:r>
        <w:t xml:space="preserve">uslijed izdvajanja troškova održavanja oborinske odvodnje </w:t>
      </w:r>
      <w:r w:rsidR="005A1D8E">
        <w:t xml:space="preserve">na troškove </w:t>
      </w:r>
      <w:r>
        <w:t>ostalih usluga</w:t>
      </w:r>
      <w:r w:rsidRPr="00A93C66">
        <w:t xml:space="preserve">.  </w:t>
      </w:r>
      <w:r w:rsidR="00BB1037" w:rsidRPr="00A93C66">
        <w:t xml:space="preserve"> </w:t>
      </w:r>
    </w:p>
    <w:p w14:paraId="3BD3153E" w14:textId="6E2C7C36" w:rsidR="005B00C8" w:rsidRDefault="00E834CD" w:rsidP="0094608E">
      <w:pPr>
        <w:pStyle w:val="Odlomakpopisa"/>
        <w:numPr>
          <w:ilvl w:val="0"/>
          <w:numId w:val="15"/>
        </w:numPr>
      </w:pPr>
      <w:r w:rsidRPr="00A93C66">
        <w:t xml:space="preserve">Trošak zakupnina i najamnina se većim dijelom odnosi na najam sustava Butoniga (243.535 eura). </w:t>
      </w:r>
    </w:p>
    <w:p w14:paraId="638EE2CB" w14:textId="77777777" w:rsidR="005D2289" w:rsidRDefault="005D2289" w:rsidP="00A02495"/>
    <w:p w14:paraId="17A6E200" w14:textId="2070374C" w:rsidR="00614731" w:rsidRDefault="00614731" w:rsidP="00A02495">
      <w:r w:rsidRPr="00AE5219">
        <w:rPr>
          <w:b/>
          <w:bCs/>
        </w:rPr>
        <w:t>Troškovi osoblja</w:t>
      </w:r>
      <w:r>
        <w:t xml:space="preserve"> realizirani su u iznosu od 6.370.309 eura, što predstavlja 24%-no povećanje u odnosu na prethodnu godinu. Prosječan broj zaposlenika u 2024. godini iznosio je </w:t>
      </w:r>
      <w:r w:rsidRPr="00112F25">
        <w:t>230</w:t>
      </w:r>
      <w:r>
        <w:t xml:space="preserve">, dok je prethodne godine iznosio 217 (pripajanje društva Pragrande d.o.o. od lipnja 2023.). </w:t>
      </w:r>
      <w:bookmarkStart w:id="9" w:name="_Hlk196469013"/>
    </w:p>
    <w:p w14:paraId="1ECFAEC3" w14:textId="77777777" w:rsidR="00D13CFD" w:rsidRPr="00802B69" w:rsidRDefault="00D13CFD" w:rsidP="00A02495"/>
    <w:p w14:paraId="7838E826" w14:textId="57205EFA" w:rsidR="00614731" w:rsidRPr="00C0315B" w:rsidRDefault="00423B8C" w:rsidP="00A02495">
      <w:pPr>
        <w:rPr>
          <w:color w:val="FF0000"/>
        </w:rPr>
      </w:pPr>
      <w:r>
        <w:t>Dana</w:t>
      </w:r>
      <w:r w:rsidR="00614731" w:rsidRPr="00C0315B">
        <w:t xml:space="preserve"> 28.12.2023. godine potpisan je Kolektivni ugovor o pravima radnika i Poslodavca br. 16872/2023. godine, kojim se od 01.01.2024.godine povećala cijena sata rada temeljem najniže osnovne plaće </w:t>
      </w:r>
      <w:r w:rsidR="006B21A6">
        <w:t xml:space="preserve">s 4,16 eura bruto </w:t>
      </w:r>
      <w:r w:rsidR="00614731" w:rsidRPr="00C0315B">
        <w:t>na 4,36 eura bruto.</w:t>
      </w:r>
      <w:r w:rsidR="00614731" w:rsidRPr="00C0315B">
        <w:rPr>
          <w:color w:val="FF0000"/>
        </w:rPr>
        <w:t>.</w:t>
      </w:r>
    </w:p>
    <w:p w14:paraId="3A2EE4F4" w14:textId="77777777" w:rsidR="00614731" w:rsidRPr="00C0315B" w:rsidRDefault="00614731" w:rsidP="00A02495"/>
    <w:p w14:paraId="341234E4" w14:textId="77777777" w:rsidR="00614731" w:rsidRPr="00C0315B" w:rsidRDefault="00614731" w:rsidP="00A02495">
      <w:r w:rsidRPr="00C0315B">
        <w:t>Sukladno važećem Pravilniku o izmjenama i dopuni Pravilnika o porezu na dohodak neoporezivi dio primitaka, naknade i ostala prava radnika isplaćivala su se u okviru dopuštenog, te je u 2024.godini isplaćeno je 755.588 eura, što predstavlja povećanje u iznosu 195.758 eura u odnosu na 2023.godinu.</w:t>
      </w:r>
    </w:p>
    <w:bookmarkEnd w:id="9"/>
    <w:p w14:paraId="675A609B" w14:textId="77777777" w:rsidR="00EE625A" w:rsidRPr="009013E3" w:rsidRDefault="00EE625A" w:rsidP="00A02495">
      <w:pPr>
        <w:rPr>
          <w:highlight w:val="magenta"/>
        </w:rPr>
      </w:pPr>
    </w:p>
    <w:p w14:paraId="5B09F9F7" w14:textId="082E5235" w:rsidR="00AD5C71" w:rsidRDefault="00AD5C71" w:rsidP="00A02495">
      <w:r>
        <w:t xml:space="preserve">U izvještajnom razdoblju obračunata je </w:t>
      </w:r>
      <w:r w:rsidRPr="00AE5219">
        <w:rPr>
          <w:b/>
          <w:bCs/>
        </w:rPr>
        <w:t>amortizacija</w:t>
      </w:r>
      <w:r>
        <w:t xml:space="preserve"> u iznosu od 4.858.795 eura</w:t>
      </w:r>
      <w:r w:rsidR="006D2BE9">
        <w:t>. Veća je od prošlogodišnje za 26%, odnosno za 1,0 mil eura. Imovina pripojenog društva Pragrande d.o.o. je u prethodnoj godini bila amortizirana u razdoblju od sedam mjeseci, dok je u tekućoj godini obuhvaćena cjelogodišnja amortizacija.</w:t>
      </w:r>
    </w:p>
    <w:p w14:paraId="7BD3E3BD" w14:textId="77777777" w:rsidR="006D2BE9" w:rsidRDefault="006D2BE9" w:rsidP="00A02495"/>
    <w:p w14:paraId="559E5210" w14:textId="6CA28486" w:rsidR="004362EC" w:rsidRPr="00AD5C71" w:rsidRDefault="0067789F" w:rsidP="00A02495">
      <w:r w:rsidRPr="00AD5C71">
        <w:t>Očekivani korisni vijek trajanja prema oblicima imovine:</w:t>
      </w:r>
    </w:p>
    <w:p w14:paraId="35BF218E" w14:textId="5D1048E7" w:rsidR="0067789F" w:rsidRPr="00AD5C71" w:rsidRDefault="0067789F" w:rsidP="0094608E">
      <w:pPr>
        <w:pStyle w:val="Odlomakpopisa"/>
        <w:numPr>
          <w:ilvl w:val="0"/>
          <w:numId w:val="5"/>
        </w:numPr>
      </w:pPr>
      <w:r w:rsidRPr="00AD5C71">
        <w:t>cjevovodi 29</w:t>
      </w:r>
      <w:r w:rsidR="006D2BE9">
        <w:t>-40</w:t>
      </w:r>
      <w:r w:rsidRPr="00AD5C71">
        <w:t xml:space="preserve"> godina;</w:t>
      </w:r>
    </w:p>
    <w:p w14:paraId="00771417" w14:textId="77777777" w:rsidR="0067789F" w:rsidRPr="00AD5C71" w:rsidRDefault="0067789F" w:rsidP="0094608E">
      <w:pPr>
        <w:pStyle w:val="Odlomakpopisa"/>
        <w:numPr>
          <w:ilvl w:val="0"/>
          <w:numId w:val="5"/>
        </w:numPr>
      </w:pPr>
      <w:r w:rsidRPr="00AD5C71">
        <w:t>građevinski objekti 10-77 godina;</w:t>
      </w:r>
    </w:p>
    <w:p w14:paraId="734A5F1D" w14:textId="77777777" w:rsidR="0067789F" w:rsidRPr="00AD5C71" w:rsidRDefault="0067789F" w:rsidP="0094608E">
      <w:pPr>
        <w:pStyle w:val="Odlomakpopisa"/>
        <w:numPr>
          <w:ilvl w:val="0"/>
          <w:numId w:val="5"/>
        </w:numPr>
      </w:pPr>
      <w:r w:rsidRPr="00AD5C71">
        <w:t>oprema 3-20 godina;</w:t>
      </w:r>
    </w:p>
    <w:p w14:paraId="072FD48D" w14:textId="77777777" w:rsidR="00EE625A" w:rsidRPr="00AD5C71" w:rsidRDefault="0067789F" w:rsidP="0094608E">
      <w:pPr>
        <w:pStyle w:val="Odlomakpopisa"/>
        <w:numPr>
          <w:ilvl w:val="0"/>
          <w:numId w:val="5"/>
        </w:numPr>
      </w:pPr>
      <w:r w:rsidRPr="00AD5C71">
        <w:t>zemljišta i druga imovina koja ima neograničeni vijek upotrebe te imovina u pripremi ne amortizira se</w:t>
      </w:r>
      <w:r w:rsidR="00361FA6" w:rsidRPr="00AD5C71">
        <w:t>.</w:t>
      </w:r>
    </w:p>
    <w:p w14:paraId="50F9CB5C" w14:textId="77777777" w:rsidR="0067789F" w:rsidRPr="009013E3" w:rsidRDefault="0067789F" w:rsidP="00A02495">
      <w:pPr>
        <w:rPr>
          <w:highlight w:val="magenta"/>
        </w:rPr>
      </w:pPr>
    </w:p>
    <w:p w14:paraId="47BAFED5" w14:textId="03673E35" w:rsidR="006D2BE9" w:rsidRDefault="006D2BE9" w:rsidP="00A02495">
      <w:r w:rsidRPr="00AE5219">
        <w:rPr>
          <w:b/>
          <w:bCs/>
        </w:rPr>
        <w:t>Ostali troškovi  poslovanja</w:t>
      </w:r>
      <w:r>
        <w:t xml:space="preserve"> na razini su prošlogodišnjeg ostvarenja i iznose </w:t>
      </w:r>
      <w:r w:rsidR="00C66873">
        <w:t>546.992</w:t>
      </w:r>
      <w:r>
        <w:t xml:space="preserve"> eura. Najznačajnija pozicija u okviru promatrane skupine rashoda su troškovi dugoročnih rezerviranja za rizike i troškove koji su evidentirani u iznosu od </w:t>
      </w:r>
      <w:r w:rsidR="00AE5219">
        <w:t>271.516</w:t>
      </w:r>
      <w:r>
        <w:t xml:space="preserve"> eura. Rezerviranja za neiskorištene godišnje odmore iznose </w:t>
      </w:r>
      <w:r w:rsidR="00AE5219">
        <w:t>143.232</w:t>
      </w:r>
      <w:r>
        <w:t xml:space="preserve"> eura, rezerviranja za otpremnine zbog odlaska u mirovinu iznose </w:t>
      </w:r>
      <w:r w:rsidR="00AE5219">
        <w:t>118.204</w:t>
      </w:r>
      <w:r>
        <w:t xml:space="preserve"> eura, te rezerviranja za jubilarne nagrade iznose </w:t>
      </w:r>
      <w:r w:rsidR="00AE5219">
        <w:t>10.080</w:t>
      </w:r>
      <w:r>
        <w:t xml:space="preserve"> eura.</w:t>
      </w:r>
    </w:p>
    <w:p w14:paraId="5E9337E1" w14:textId="77777777" w:rsidR="00156AD5" w:rsidRPr="009013E3" w:rsidRDefault="00156AD5" w:rsidP="00A02495">
      <w:pPr>
        <w:rPr>
          <w:highlight w:val="magenta"/>
        </w:rPr>
      </w:pPr>
    </w:p>
    <w:p w14:paraId="2738C1BC" w14:textId="713E8289" w:rsidR="006D2BE9" w:rsidRPr="00B92876" w:rsidRDefault="006D2BE9" w:rsidP="00A02495">
      <w:r w:rsidRPr="00B92876">
        <w:t xml:space="preserve">U okviru </w:t>
      </w:r>
      <w:r w:rsidRPr="00AE5219">
        <w:rPr>
          <w:b/>
          <w:bCs/>
        </w:rPr>
        <w:t>financijskih rashoda</w:t>
      </w:r>
      <w:r w:rsidRPr="00B92876">
        <w:t xml:space="preserve"> (12.302 eura) evidentirani su troškovi po osnovi redovnih kamata po zajmovima i kreditima u iznosu od 11.675 eura, troškovi po osnovi zateznih kamata u iznosu od 622 eura, te negativne tečajne razlike u iznosu od 5 eura.</w:t>
      </w:r>
      <w:r w:rsidR="00B92876" w:rsidRPr="00B92876">
        <w:t xml:space="preserve"> U odnosu na prethodnu godinu manji su za 31%.</w:t>
      </w:r>
    </w:p>
    <w:p w14:paraId="5E887E27" w14:textId="77777777" w:rsidR="00412777" w:rsidRDefault="00412777" w:rsidP="00A02495">
      <w:pPr>
        <w:rPr>
          <w:highlight w:val="magenta"/>
        </w:rPr>
      </w:pPr>
    </w:p>
    <w:p w14:paraId="3147E86C" w14:textId="7A0F41A3" w:rsidR="00834D0E" w:rsidRDefault="00834D0E" w:rsidP="00A02495">
      <w:r w:rsidRPr="00C14A9B">
        <w:t xml:space="preserve">Na skupini </w:t>
      </w:r>
      <w:r w:rsidRPr="00AE5219">
        <w:rPr>
          <w:b/>
          <w:bCs/>
        </w:rPr>
        <w:t>ostalih rashoda i vrijednosnih usklađenja</w:t>
      </w:r>
      <w:r w:rsidRPr="00C14A9B">
        <w:t xml:space="preserve"> koj</w:t>
      </w:r>
      <w:r w:rsidR="00D13CFD">
        <w:t>a</w:t>
      </w:r>
      <w:r w:rsidRPr="00C14A9B">
        <w:t xml:space="preserve"> bilježe </w:t>
      </w:r>
      <w:r w:rsidR="00C66873">
        <w:t>19</w:t>
      </w:r>
      <w:r w:rsidRPr="00C14A9B">
        <w:t>%-no povećanje u odnosu na prethodnu godinu evidentirano je 206.709 eura. Najznačajnija pozicija</w:t>
      </w:r>
      <w:r w:rsidR="00C14A9B" w:rsidRPr="00C14A9B">
        <w:t xml:space="preserve"> u okviru promatrane skupine</w:t>
      </w:r>
      <w:r w:rsidRPr="00C14A9B">
        <w:t xml:space="preserve"> odnosi se na vrijednosna usklađenja potraživanja od kupaca (</w:t>
      </w:r>
      <w:r w:rsidR="00AE5219">
        <w:t>133.999</w:t>
      </w:r>
      <w:r w:rsidRPr="00C14A9B">
        <w:t xml:space="preserve"> eura). </w:t>
      </w:r>
      <w:r w:rsidR="00C14A9B" w:rsidRPr="00C14A9B">
        <w:t>P</w:t>
      </w:r>
      <w:r w:rsidRPr="00C14A9B">
        <w:t>ozicij</w:t>
      </w:r>
      <w:r w:rsidR="00C14A9B" w:rsidRPr="00C14A9B">
        <w:t>a</w:t>
      </w:r>
      <w:r w:rsidRPr="00C14A9B">
        <w:t xml:space="preserve"> ostalih izvanrednih rashoda </w:t>
      </w:r>
      <w:r w:rsidR="00C14A9B" w:rsidRPr="00C14A9B">
        <w:t>obuhvaća</w:t>
      </w:r>
      <w:r w:rsidRPr="00C14A9B">
        <w:t xml:space="preserve"> troškov</w:t>
      </w:r>
      <w:r w:rsidR="00C14A9B" w:rsidRPr="00C14A9B">
        <w:t>e</w:t>
      </w:r>
      <w:r w:rsidRPr="00C14A9B">
        <w:t xml:space="preserve"> otpisanih potraživanja (</w:t>
      </w:r>
      <w:r w:rsidR="00AE5219">
        <w:t>13.125</w:t>
      </w:r>
      <w:r w:rsidRPr="00C14A9B">
        <w:t xml:space="preserve"> eura), naknadno utvrđeni rashodi iz prethodne godine (</w:t>
      </w:r>
      <w:r w:rsidR="00AE5219">
        <w:t>14.913</w:t>
      </w:r>
      <w:r w:rsidRPr="00C14A9B">
        <w:t xml:space="preserve"> eura), te ostali rashodi (</w:t>
      </w:r>
      <w:r w:rsidR="00AE5219">
        <w:t>9.239</w:t>
      </w:r>
      <w:r w:rsidRPr="00C14A9B">
        <w:t xml:space="preserve"> eura).</w:t>
      </w:r>
    </w:p>
    <w:p w14:paraId="51F83442" w14:textId="77777777" w:rsidR="00C66873" w:rsidRDefault="00C66873" w:rsidP="00A02495"/>
    <w:p w14:paraId="66112C90" w14:textId="77777777" w:rsidR="00423B8C" w:rsidRDefault="00423B8C" w:rsidP="00A02495"/>
    <w:p w14:paraId="5BD497A1" w14:textId="77777777" w:rsidR="00C66873" w:rsidRDefault="00C66873" w:rsidP="00A02495"/>
    <w:p w14:paraId="7573344C" w14:textId="77777777" w:rsidR="002228E6" w:rsidRDefault="002228E6" w:rsidP="00A02495"/>
    <w:p w14:paraId="23274196" w14:textId="77777777" w:rsidR="002228E6" w:rsidRDefault="002228E6" w:rsidP="00A02495"/>
    <w:p w14:paraId="46D1D719" w14:textId="77777777" w:rsidR="002228E6" w:rsidRPr="00C14A9B" w:rsidRDefault="002228E6" w:rsidP="00A02495"/>
    <w:tbl>
      <w:tblPr>
        <w:tblW w:w="9062" w:type="dxa"/>
        <w:jc w:val="center"/>
        <w:tblLayout w:type="fixed"/>
        <w:tblCellMar>
          <w:left w:w="10" w:type="dxa"/>
          <w:right w:w="10" w:type="dxa"/>
        </w:tblCellMar>
        <w:tblLook w:val="04A0" w:firstRow="1" w:lastRow="0" w:firstColumn="1" w:lastColumn="0" w:noHBand="0" w:noVBand="1"/>
      </w:tblPr>
      <w:tblGrid>
        <w:gridCol w:w="9062"/>
      </w:tblGrid>
      <w:tr w:rsidR="00ED7783" w14:paraId="09DAF7BB" w14:textId="77777777" w:rsidTr="00F24AA8">
        <w:trPr>
          <w:trHeight w:val="397"/>
          <w:jc w:val="center"/>
        </w:trPr>
        <w:tc>
          <w:tcPr>
            <w:tcW w:w="9062" w:type="dxa"/>
            <w:shd w:val="clear" w:color="auto" w:fill="E7E7FF"/>
            <w:tcMar>
              <w:top w:w="0" w:type="dxa"/>
              <w:left w:w="108" w:type="dxa"/>
              <w:bottom w:w="0" w:type="dxa"/>
              <w:right w:w="108" w:type="dxa"/>
            </w:tcMar>
            <w:vAlign w:val="center"/>
          </w:tcPr>
          <w:p w14:paraId="6522F9ED" w14:textId="77777777" w:rsidR="00ED7783" w:rsidRDefault="00ED7783" w:rsidP="001E0E3F">
            <w:pPr>
              <w:pStyle w:val="Standard"/>
              <w:spacing w:after="0"/>
              <w:rPr>
                <w:rFonts w:ascii="Cambria" w:hAnsi="Cambria" w:cs="Arial"/>
                <w:b/>
                <w:color w:val="262626"/>
                <w:lang w:eastAsia="en-US"/>
              </w:rPr>
            </w:pPr>
            <w:r>
              <w:rPr>
                <w:rFonts w:ascii="Cambria" w:hAnsi="Cambria" w:cs="Arial"/>
                <w:b/>
                <w:color w:val="262626"/>
                <w:lang w:eastAsia="en-US"/>
              </w:rPr>
              <w:lastRenderedPageBreak/>
              <w:t>Rezultat</w:t>
            </w:r>
            <w:r w:rsidR="001E0E3F">
              <w:rPr>
                <w:rFonts w:ascii="Cambria" w:hAnsi="Cambria" w:cs="Arial"/>
                <w:b/>
                <w:color w:val="262626"/>
                <w:lang w:eastAsia="en-US"/>
              </w:rPr>
              <w:t xml:space="preserve">  </w:t>
            </w:r>
            <w:r>
              <w:rPr>
                <w:rFonts w:ascii="Cambria" w:hAnsi="Cambria" w:cs="Arial"/>
                <w:b/>
                <w:color w:val="262626"/>
                <w:lang w:eastAsia="en-US"/>
              </w:rPr>
              <w:t xml:space="preserve">poslovanja </w:t>
            </w:r>
          </w:p>
        </w:tc>
      </w:tr>
    </w:tbl>
    <w:p w14:paraId="305E735D" w14:textId="77777777" w:rsidR="00ED7783" w:rsidRPr="007229CE" w:rsidRDefault="00ED7783" w:rsidP="00A02495">
      <w:r w:rsidRPr="007229CE">
        <w:tab/>
      </w:r>
      <w:r w:rsidRPr="007229CE">
        <w:tab/>
      </w:r>
      <w:r w:rsidRPr="007229CE">
        <w:tab/>
      </w:r>
      <w:r w:rsidRPr="007229CE">
        <w:tab/>
      </w:r>
      <w:r w:rsidRPr="007229CE">
        <w:tab/>
      </w:r>
      <w:r w:rsidRPr="007229CE">
        <w:tab/>
      </w:r>
      <w:r w:rsidRPr="007229CE">
        <w:tab/>
      </w:r>
    </w:p>
    <w:p w14:paraId="6B6CADD8" w14:textId="6EBD26E5" w:rsidR="00DF370B" w:rsidRPr="00A27A80" w:rsidRDefault="00DF370B" w:rsidP="00A02495">
      <w:r w:rsidRPr="00A27A80">
        <w:t>Društvo je 202</w:t>
      </w:r>
      <w:r w:rsidR="00C66873" w:rsidRPr="00A27A80">
        <w:t>4</w:t>
      </w:r>
      <w:r w:rsidRPr="00A27A80">
        <w:t xml:space="preserve">. godinu završilo ostvarivši bruto dobit u iznosu od </w:t>
      </w:r>
      <w:r w:rsidR="00C66873" w:rsidRPr="00A27A80">
        <w:t>4.512</w:t>
      </w:r>
      <w:r w:rsidR="00AF7CA3" w:rsidRPr="00A27A80">
        <w:t xml:space="preserve"> eura</w:t>
      </w:r>
      <w:r w:rsidRPr="00A27A80">
        <w:t xml:space="preserve">. </w:t>
      </w:r>
      <w:r w:rsidR="00047E60" w:rsidRPr="00A27A80">
        <w:t xml:space="preserve">Društvo ne podliježe obvezi poreza na dobit zbog prijenosa poreznog gubitka iz </w:t>
      </w:r>
      <w:r w:rsidR="004257B7" w:rsidRPr="00A27A80">
        <w:t>prethodne</w:t>
      </w:r>
      <w:r w:rsidR="0039708C" w:rsidRPr="00A27A80">
        <w:t xml:space="preserve"> godin</w:t>
      </w:r>
      <w:r w:rsidR="004257B7" w:rsidRPr="00A27A80">
        <w:t>e</w:t>
      </w:r>
      <w:r w:rsidR="00156AD5" w:rsidRPr="00A27A80">
        <w:t xml:space="preserve"> društva Pragrande d.o.o.</w:t>
      </w:r>
      <w:r w:rsidR="00047E60" w:rsidRPr="00A27A80">
        <w:t>, te n</w:t>
      </w:r>
      <w:r w:rsidRPr="00A27A80">
        <w:t xml:space="preserve">eto dobit ili dobit nakon oporezivanja iznosi </w:t>
      </w:r>
      <w:r w:rsidR="00C66873" w:rsidRPr="00A27A80">
        <w:t>4.512</w:t>
      </w:r>
      <w:r w:rsidR="00AF7CA3" w:rsidRPr="00A27A80">
        <w:t xml:space="preserve"> eura. </w:t>
      </w:r>
    </w:p>
    <w:p w14:paraId="267CBA21" w14:textId="77777777" w:rsidR="006A729E" w:rsidRDefault="006A729E">
      <w:pPr>
        <w:spacing w:line="240" w:lineRule="auto"/>
        <w:jc w:val="left"/>
        <w:rPr>
          <w:rFonts w:cs="Arial"/>
          <w:b/>
          <w:color w:val="262626"/>
          <w:kern w:val="3"/>
          <w:sz w:val="24"/>
          <w:szCs w:val="18"/>
          <w:lang w:eastAsia="hr-HR"/>
        </w:rPr>
      </w:pPr>
      <w:r>
        <w:rPr>
          <w:rFonts w:cs="Arial"/>
          <w:b/>
          <w:color w:val="262626"/>
          <w:szCs w:val="18"/>
        </w:rPr>
        <w:br w:type="page"/>
      </w:r>
    </w:p>
    <w:p w14:paraId="5E8B62F3" w14:textId="05A50350" w:rsidR="004D2A2E" w:rsidRDefault="004D2A2E" w:rsidP="004D2A2E">
      <w:pPr>
        <w:pStyle w:val="Standard"/>
        <w:spacing w:after="0"/>
        <w:rPr>
          <w:rFonts w:ascii="Cambria" w:hAnsi="Cambria" w:cs="Arial"/>
          <w:b/>
          <w:color w:val="262626"/>
          <w:szCs w:val="18"/>
        </w:rPr>
      </w:pPr>
      <w:r>
        <w:rPr>
          <w:rFonts w:ascii="Cambria" w:hAnsi="Cambria" w:cs="Arial"/>
          <w:b/>
          <w:color w:val="262626"/>
          <w:szCs w:val="18"/>
        </w:rPr>
        <w:lastRenderedPageBreak/>
        <w:t>Izvještaj 4.</w:t>
      </w:r>
    </w:p>
    <w:p w14:paraId="245FEC48" w14:textId="77777777" w:rsidR="004D2A2E" w:rsidRDefault="004D2A2E" w:rsidP="004D2A2E">
      <w:pPr>
        <w:pStyle w:val="Standard"/>
        <w:pBdr>
          <w:bottom w:val="single" w:sz="18" w:space="1" w:color="000080"/>
        </w:pBdr>
        <w:spacing w:after="0" w:line="360" w:lineRule="auto"/>
        <w:rPr>
          <w:rFonts w:ascii="Cambria" w:hAnsi="Cambria" w:cs="Arial"/>
          <w:b/>
          <w:color w:val="262626"/>
          <w:sz w:val="40"/>
          <w:szCs w:val="26"/>
        </w:rPr>
      </w:pPr>
      <w:r>
        <w:rPr>
          <w:rFonts w:ascii="Cambria" w:hAnsi="Cambria" w:cs="Arial"/>
          <w:b/>
          <w:color w:val="262626"/>
          <w:sz w:val="40"/>
          <w:szCs w:val="26"/>
        </w:rPr>
        <w:t>DODATNI PODACI</w:t>
      </w:r>
    </w:p>
    <w:p w14:paraId="0EF83E22" w14:textId="77777777" w:rsidR="004D2A2E" w:rsidRDefault="004D2A2E" w:rsidP="004D2A2E">
      <w:pPr>
        <w:pStyle w:val="Standard"/>
        <w:spacing w:after="0"/>
        <w:rPr>
          <w:rFonts w:ascii="Cambria" w:hAnsi="Cambria"/>
        </w:rPr>
      </w:pPr>
    </w:p>
    <w:tbl>
      <w:tblPr>
        <w:tblW w:w="5000" w:type="pct"/>
        <w:tblLayout w:type="fixed"/>
        <w:tblCellMar>
          <w:left w:w="10" w:type="dxa"/>
          <w:right w:w="10" w:type="dxa"/>
        </w:tblCellMar>
        <w:tblLook w:val="04A0" w:firstRow="1" w:lastRow="0" w:firstColumn="1" w:lastColumn="0" w:noHBand="0" w:noVBand="1"/>
      </w:tblPr>
      <w:tblGrid>
        <w:gridCol w:w="9072"/>
      </w:tblGrid>
      <w:tr w:rsidR="004D2A2E" w:rsidRPr="000970FB" w14:paraId="5BA53882" w14:textId="77777777" w:rsidTr="00B16AEC">
        <w:trPr>
          <w:trHeight w:val="397"/>
        </w:trPr>
        <w:tc>
          <w:tcPr>
            <w:tcW w:w="9288" w:type="dxa"/>
            <w:shd w:val="clear" w:color="auto" w:fill="E7E7FF"/>
            <w:tcMar>
              <w:top w:w="0" w:type="dxa"/>
              <w:left w:w="108" w:type="dxa"/>
              <w:bottom w:w="0" w:type="dxa"/>
              <w:right w:w="108" w:type="dxa"/>
            </w:tcMar>
            <w:vAlign w:val="center"/>
          </w:tcPr>
          <w:p w14:paraId="647445C3" w14:textId="77777777" w:rsidR="004D2A2E" w:rsidRPr="000970FB" w:rsidRDefault="004D2A2E" w:rsidP="006C7AA7">
            <w:pPr>
              <w:pStyle w:val="Standard"/>
              <w:spacing w:after="0"/>
              <w:rPr>
                <w:rFonts w:ascii="Cambria" w:hAnsi="Cambria" w:cs="Arial"/>
                <w:b/>
                <w:color w:val="262626"/>
                <w:lang w:eastAsia="en-US"/>
              </w:rPr>
            </w:pPr>
            <w:r w:rsidRPr="000970FB">
              <w:rPr>
                <w:rFonts w:ascii="Cambria" w:hAnsi="Cambria" w:cs="Arial"/>
                <w:b/>
                <w:color w:val="262626"/>
                <w:lang w:eastAsia="en-US"/>
              </w:rPr>
              <w:t>Broj i struktura zaposlenih</w:t>
            </w:r>
          </w:p>
        </w:tc>
      </w:tr>
    </w:tbl>
    <w:p w14:paraId="6C75B7EE" w14:textId="77777777" w:rsidR="004D2A2E" w:rsidRDefault="004D2A2E" w:rsidP="004D2A2E">
      <w:pPr>
        <w:pStyle w:val="Standard"/>
        <w:spacing w:after="0"/>
        <w:jc w:val="both"/>
        <w:rPr>
          <w:rFonts w:ascii="Cambria" w:hAnsi="Cambria" w:cs="Arial"/>
          <w:sz w:val="22"/>
          <w:szCs w:val="22"/>
        </w:rPr>
      </w:pPr>
    </w:p>
    <w:p w14:paraId="2B42367C" w14:textId="65E9C42F" w:rsidR="00596A55" w:rsidRPr="002325C3" w:rsidRDefault="00596A55" w:rsidP="00A02495">
      <w:r w:rsidRPr="002325C3">
        <w:t>Na dan 31.12.2024. godine Društvo je zapošljavalo 231 radnika, dok je na dan 31.12.2023. godine bilo zaposleno 225 radnika. Od 231 zaposlenih radnika, 5 radnika je zaposleno na određeno vrijeme, dok je 226 radnika zaposlen</w:t>
      </w:r>
      <w:r w:rsidR="007A6FDB">
        <w:t>o</w:t>
      </w:r>
      <w:r w:rsidRPr="002325C3">
        <w:t xml:space="preserve"> na neodređeno vrijeme.</w:t>
      </w:r>
    </w:p>
    <w:p w14:paraId="2630EED7" w14:textId="77777777" w:rsidR="00596A55" w:rsidRPr="009013E3" w:rsidRDefault="00596A55" w:rsidP="00A02495">
      <w:pPr>
        <w:rPr>
          <w:highlight w:val="green"/>
        </w:rPr>
      </w:pPr>
    </w:p>
    <w:p w14:paraId="3E4785FF" w14:textId="77777777" w:rsidR="00596A55" w:rsidRPr="002325C3" w:rsidRDefault="00596A55" w:rsidP="00A02495">
      <w:r w:rsidRPr="002325C3">
        <w:t>Tijekom 2024. godine ukupno je otišlo 15 radnika, i to 8 radnika je otišlo u mirovinu (Strojar električar – voditelj smjene, Programer informatičkog sustava, Salda konto dobavljača, Poslovođa odvodnje, Referent za pripremu i vođenje tehničke arhive, Tehničar za katastar vodovodne mreže, Monter I i Referent za priključke), 1 radnik je otišao u prijevremenu mirovinu (Rukovoditelj odjela za kontroling, analizu poslovnih procesa i upravljanj</w:t>
      </w:r>
      <w:r>
        <w:t>e</w:t>
      </w:r>
      <w:r w:rsidRPr="002325C3">
        <w:t xml:space="preserve"> normama) dok je sa 6 radnika sklopljen sporazumni raskid ugovora o radu (</w:t>
      </w:r>
      <w:r>
        <w:t xml:space="preserve">2 </w:t>
      </w:r>
      <w:r w:rsidRPr="002325C3">
        <w:t>Rukovoditelj</w:t>
      </w:r>
      <w:r>
        <w:t>a</w:t>
      </w:r>
      <w:r w:rsidRPr="002325C3">
        <w:t xml:space="preserve"> gradilišta, </w:t>
      </w:r>
      <w:r>
        <w:t xml:space="preserve">2 </w:t>
      </w:r>
      <w:r w:rsidRPr="002325C3">
        <w:t>Radnik</w:t>
      </w:r>
      <w:r>
        <w:t>a</w:t>
      </w:r>
      <w:r w:rsidRPr="002325C3">
        <w:t xml:space="preserve"> na specijalnom vozilu, Samostalni referent odjela za kontroling, analizu poslovnih procesa i upravljanj</w:t>
      </w:r>
      <w:r>
        <w:t>e</w:t>
      </w:r>
      <w:r w:rsidRPr="002325C3">
        <w:t xml:space="preserve"> normama i Inženjer za pripremu i razvoj investicija).</w:t>
      </w:r>
    </w:p>
    <w:p w14:paraId="58EC63F2" w14:textId="77777777" w:rsidR="00596A55" w:rsidRPr="009013E3" w:rsidRDefault="00596A55" w:rsidP="00A02495">
      <w:pPr>
        <w:rPr>
          <w:highlight w:val="green"/>
        </w:rPr>
      </w:pPr>
    </w:p>
    <w:p w14:paraId="7FC332B9" w14:textId="77777777" w:rsidR="00596A55" w:rsidRDefault="00596A55" w:rsidP="00A02495">
      <w:pPr>
        <w:rPr>
          <w:bCs/>
        </w:rPr>
      </w:pPr>
      <w:r w:rsidRPr="0087031C">
        <w:t>Tijekom 2024. godine zaposlen je 16 radnika na neodređeno vrijeme</w:t>
      </w:r>
      <w:r>
        <w:t xml:space="preserve"> </w:t>
      </w:r>
      <w:r w:rsidRPr="0087031C">
        <w:t>dok je sa 2 radnika zasnovan radni odnos na određeno vrijeme</w:t>
      </w:r>
      <w:r>
        <w:t xml:space="preserve">. </w:t>
      </w:r>
      <w:r w:rsidRPr="0087031C">
        <w:rPr>
          <w:bCs/>
        </w:rPr>
        <w:t>U nastavku dajemo pregled zapošljavanja po pogonima i odjelima</w:t>
      </w:r>
      <w:r>
        <w:rPr>
          <w:bCs/>
        </w:rPr>
        <w:t>.</w:t>
      </w:r>
    </w:p>
    <w:p w14:paraId="7E7DCE0D" w14:textId="77777777" w:rsidR="00596A55" w:rsidRDefault="00596A55" w:rsidP="00A02495"/>
    <w:p w14:paraId="3B56C9D3" w14:textId="77777777" w:rsidR="00596A55" w:rsidRPr="009013E3" w:rsidRDefault="00596A55" w:rsidP="00A02495">
      <w:pPr>
        <w:rPr>
          <w:highlight w:val="green"/>
        </w:rPr>
      </w:pPr>
      <w:r>
        <w:t>Zaposleni na neodređeno:</w:t>
      </w:r>
    </w:p>
    <w:p w14:paraId="0B897C4C" w14:textId="77777777" w:rsidR="00596A55" w:rsidRPr="00C06047" w:rsidRDefault="00596A55" w:rsidP="0094608E">
      <w:pPr>
        <w:pStyle w:val="Odlomakpopisa"/>
        <w:numPr>
          <w:ilvl w:val="0"/>
          <w:numId w:val="9"/>
        </w:numPr>
      </w:pPr>
      <w:r w:rsidRPr="00C06047">
        <w:t>POGON RAKONEK - Strojar od 01.03.2024.</w:t>
      </w:r>
    </w:p>
    <w:p w14:paraId="34721E84" w14:textId="77777777" w:rsidR="00596A55" w:rsidRPr="00C06047" w:rsidRDefault="00596A55" w:rsidP="0094608E">
      <w:pPr>
        <w:pStyle w:val="Odlomakpopisa"/>
        <w:numPr>
          <w:ilvl w:val="0"/>
          <w:numId w:val="9"/>
        </w:numPr>
      </w:pPr>
      <w:r w:rsidRPr="00C06047">
        <w:t>ODJEL TEHNIČKE OPERATIVE – Rukovoditelj gradilišta od 01.05.2024.</w:t>
      </w:r>
    </w:p>
    <w:p w14:paraId="19097C8E" w14:textId="77777777" w:rsidR="00596A55" w:rsidRPr="00C06047" w:rsidRDefault="00596A55" w:rsidP="0094608E">
      <w:pPr>
        <w:pStyle w:val="Odlomakpopisa"/>
        <w:numPr>
          <w:ilvl w:val="0"/>
          <w:numId w:val="9"/>
        </w:numPr>
      </w:pPr>
      <w:r w:rsidRPr="00C06047">
        <w:t>ODRŽAVANJE VODOVODNE MREŽE – Monter II od 01.03.2024.</w:t>
      </w:r>
    </w:p>
    <w:p w14:paraId="1BFC1BD2" w14:textId="77777777" w:rsidR="00596A55" w:rsidRPr="00C06047" w:rsidRDefault="00596A55" w:rsidP="0094608E">
      <w:pPr>
        <w:pStyle w:val="Odlomakpopisa"/>
        <w:numPr>
          <w:ilvl w:val="0"/>
          <w:numId w:val="9"/>
        </w:numPr>
      </w:pPr>
      <w:r w:rsidRPr="00C06047">
        <w:t>SLUŽBA ZA PRIPREMU I RAZVOJ INVESTICIJA – 3 Inženjera za pripremu irazvoj investicija (od 01.01.2024., 18.03.2024. i 15.04.2024.) i Referent za pripremu i vođenje tehničke arhive od 11.03.2024.</w:t>
      </w:r>
    </w:p>
    <w:p w14:paraId="31C3FEAA" w14:textId="77777777" w:rsidR="00596A55" w:rsidRPr="00C06047" w:rsidRDefault="00596A55" w:rsidP="0094608E">
      <w:pPr>
        <w:pStyle w:val="Odlomakpopisa"/>
        <w:numPr>
          <w:ilvl w:val="0"/>
          <w:numId w:val="9"/>
        </w:numPr>
      </w:pPr>
      <w:r w:rsidRPr="00C06047">
        <w:t>ODRŽ. , ISPIT. I KONTROLA ODVODNJE FEKALNIH I OBORINSKIH – 3 Radnika na specijalnom vozilu (od 25.04.2024., 01.06.2024. i24.07.2024.) i Radnik u kanalizaciji II od 23.07.2024.</w:t>
      </w:r>
    </w:p>
    <w:p w14:paraId="470D7C26" w14:textId="77777777" w:rsidR="00596A55" w:rsidRPr="00C06047" w:rsidRDefault="00596A55" w:rsidP="0094608E">
      <w:pPr>
        <w:pStyle w:val="Odlomakpopisa"/>
        <w:numPr>
          <w:ilvl w:val="0"/>
          <w:numId w:val="9"/>
        </w:numPr>
      </w:pPr>
      <w:r w:rsidRPr="00C06047">
        <w:t>OPĆI SEKTOR – Referent za javnu nabavu od 08.01.2024.</w:t>
      </w:r>
    </w:p>
    <w:p w14:paraId="6B60A714" w14:textId="77777777" w:rsidR="00596A55" w:rsidRPr="00C06047" w:rsidRDefault="00596A55" w:rsidP="0094608E">
      <w:pPr>
        <w:pStyle w:val="Odlomakpopisa"/>
        <w:numPr>
          <w:ilvl w:val="0"/>
          <w:numId w:val="9"/>
        </w:numPr>
      </w:pPr>
      <w:r w:rsidRPr="00C06047">
        <w:t>POTROŠAČKI ODJEL – Kontrolor vodomjera i reklamacija II od 01.01.2024.</w:t>
      </w:r>
    </w:p>
    <w:p w14:paraId="75F68BF8" w14:textId="77777777" w:rsidR="00596A55" w:rsidRPr="00C06047" w:rsidRDefault="00596A55" w:rsidP="0094608E">
      <w:pPr>
        <w:pStyle w:val="Odlomakpopisa"/>
        <w:numPr>
          <w:ilvl w:val="0"/>
          <w:numId w:val="9"/>
        </w:numPr>
      </w:pPr>
      <w:r w:rsidRPr="00C06047">
        <w:t>ODJEL KOMERCIJALE – Skladišni radnik od 02.04.2024.</w:t>
      </w:r>
    </w:p>
    <w:p w14:paraId="0E64A3E8" w14:textId="77777777" w:rsidR="00596A55" w:rsidRPr="00C06047" w:rsidRDefault="00596A55" w:rsidP="0094608E">
      <w:pPr>
        <w:pStyle w:val="Odlomakpopisa"/>
        <w:numPr>
          <w:ilvl w:val="0"/>
          <w:numId w:val="9"/>
        </w:numPr>
      </w:pPr>
      <w:r w:rsidRPr="00C06047">
        <w:t>SLUŽBA INFORMATIČKOG CENTRA – Programer informacijskog sustava od 22.04.2024.</w:t>
      </w:r>
    </w:p>
    <w:p w14:paraId="45F0A3AB" w14:textId="77777777" w:rsidR="00596A55" w:rsidRPr="00C06047" w:rsidRDefault="00596A55" w:rsidP="0094608E">
      <w:pPr>
        <w:pStyle w:val="Odlomakpopisa"/>
        <w:numPr>
          <w:ilvl w:val="0"/>
          <w:numId w:val="9"/>
        </w:numPr>
      </w:pPr>
      <w:r w:rsidRPr="00C06047">
        <w:t>ODJEL ZA KONTROLING, ANALIZU POSLOVNIH PROCESA I UPRAVLJANJE NORMAMA - Rukovoditelj odjela za kontroling, analizu poslovnih procesa i upravljanje normama od 01.09.2024.</w:t>
      </w:r>
    </w:p>
    <w:p w14:paraId="3BC3AD4A" w14:textId="77777777" w:rsidR="00596A55" w:rsidRPr="006060E9" w:rsidRDefault="00596A55" w:rsidP="00A02495">
      <w:pPr>
        <w:pStyle w:val="Odlomakpopisa"/>
        <w:rPr>
          <w:highlight w:val="green"/>
        </w:rPr>
      </w:pPr>
    </w:p>
    <w:p w14:paraId="5CDBC560" w14:textId="77777777" w:rsidR="00596A55" w:rsidRPr="006060E9" w:rsidRDefault="00596A55" w:rsidP="00A02495">
      <w:pPr>
        <w:rPr>
          <w:highlight w:val="green"/>
        </w:rPr>
      </w:pPr>
      <w:r>
        <w:t>Zaposleni na određeno:</w:t>
      </w:r>
    </w:p>
    <w:p w14:paraId="762FD760" w14:textId="77777777" w:rsidR="00596A55" w:rsidRPr="006060E9" w:rsidRDefault="00596A55" w:rsidP="0094608E">
      <w:pPr>
        <w:pStyle w:val="Odlomakpopisa"/>
        <w:numPr>
          <w:ilvl w:val="0"/>
          <w:numId w:val="9"/>
        </w:numPr>
      </w:pPr>
      <w:r w:rsidRPr="006060E9">
        <w:t>ELEKTROODRŽAVANJE – Elektroničar II od 01.04.2024.</w:t>
      </w:r>
    </w:p>
    <w:p w14:paraId="24668679" w14:textId="77777777" w:rsidR="00596A55" w:rsidRPr="006060E9" w:rsidRDefault="00596A55" w:rsidP="0094608E">
      <w:pPr>
        <w:pStyle w:val="Odlomakpopisa"/>
        <w:numPr>
          <w:ilvl w:val="0"/>
          <w:numId w:val="9"/>
        </w:numPr>
      </w:pPr>
      <w:r w:rsidRPr="006060E9">
        <w:t>FINANCIJSKO RAČUNOVODSTVENI ODJEL – Obračun plaća od 22.07.2024.</w:t>
      </w:r>
    </w:p>
    <w:p w14:paraId="0C418888" w14:textId="77777777" w:rsidR="00596A55" w:rsidRPr="009013E3" w:rsidRDefault="00596A55" w:rsidP="00A02495">
      <w:pPr>
        <w:pStyle w:val="Odlomakpopisa"/>
        <w:rPr>
          <w:highlight w:val="green"/>
        </w:rPr>
      </w:pPr>
    </w:p>
    <w:p w14:paraId="491F8234" w14:textId="77777777" w:rsidR="00596A55" w:rsidRPr="007C4D78" w:rsidRDefault="00596A55" w:rsidP="00A02495">
      <w:r w:rsidRPr="007C4D78">
        <w:lastRenderedPageBreak/>
        <w:t>Prosječan broj zaposlenih u 2024. godini u Društvu je bio 230 radnika (u 2023. godini 217 radnika). Od toga, prosječan broj zaposlenika na neodređeno u 2023. godini je bio 217 radnika, a na određeno vrijeme 13 radnika.</w:t>
      </w:r>
    </w:p>
    <w:p w14:paraId="58D2D297" w14:textId="77777777" w:rsidR="00596A55" w:rsidRPr="009013E3" w:rsidRDefault="00596A55" w:rsidP="00A02495">
      <w:pPr>
        <w:rPr>
          <w:highlight w:val="green"/>
        </w:rPr>
      </w:pPr>
    </w:p>
    <w:p w14:paraId="1223EC68" w14:textId="77777777" w:rsidR="00596A55" w:rsidRDefault="00596A55" w:rsidP="00A02495">
      <w:r w:rsidRPr="00296351">
        <w:t>Neto plaće prema radnom mjestu:</w:t>
      </w:r>
    </w:p>
    <w:p w14:paraId="07311898" w14:textId="77777777" w:rsidR="00596A55" w:rsidRPr="00296351" w:rsidRDefault="00596A55" w:rsidP="00A02495"/>
    <w:tbl>
      <w:tblPr>
        <w:tblW w:w="5000" w:type="pct"/>
        <w:tblBorders>
          <w:top w:val="single" w:sz="4" w:space="0" w:color="BFBFBF" w:themeColor="background1" w:themeShade="BF"/>
          <w:bottom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4803"/>
        <w:gridCol w:w="1598"/>
        <w:gridCol w:w="1337"/>
        <w:gridCol w:w="1334"/>
      </w:tblGrid>
      <w:tr w:rsidR="00596A55" w:rsidRPr="00513B34" w14:paraId="5FD04047" w14:textId="77777777" w:rsidTr="0094608E">
        <w:trPr>
          <w:trHeight w:val="255"/>
        </w:trPr>
        <w:tc>
          <w:tcPr>
            <w:tcW w:w="2647" w:type="pct"/>
            <w:vMerge w:val="restart"/>
            <w:tcBorders>
              <w:top w:val="single" w:sz="8" w:space="0" w:color="404040" w:themeColor="text1" w:themeTint="BF"/>
              <w:bottom w:val="single" w:sz="8" w:space="0" w:color="404040" w:themeColor="text1" w:themeTint="BF"/>
            </w:tcBorders>
            <w:shd w:val="clear" w:color="000000" w:fill="D9D9D9"/>
            <w:noWrap/>
            <w:vAlign w:val="center"/>
            <w:hideMark/>
          </w:tcPr>
          <w:p w14:paraId="01892549" w14:textId="77777777" w:rsidR="00596A55" w:rsidRPr="00513B34" w:rsidRDefault="00596A55" w:rsidP="00A02495">
            <w:pPr>
              <w:rPr>
                <w:b/>
                <w:bCs/>
                <w:sz w:val="18"/>
                <w:szCs w:val="18"/>
                <w:lang w:eastAsia="hr-HR"/>
              </w:rPr>
            </w:pPr>
            <w:r w:rsidRPr="00513B34">
              <w:rPr>
                <w:b/>
                <w:bCs/>
                <w:sz w:val="18"/>
                <w:szCs w:val="18"/>
                <w:lang w:eastAsia="hr-HR"/>
              </w:rPr>
              <w:t xml:space="preserve">Opis radnog mjesta </w:t>
            </w:r>
          </w:p>
        </w:tc>
        <w:tc>
          <w:tcPr>
            <w:tcW w:w="881" w:type="pct"/>
            <w:tcBorders>
              <w:top w:val="single" w:sz="8" w:space="0" w:color="404040" w:themeColor="text1" w:themeTint="BF"/>
              <w:bottom w:val="nil"/>
            </w:tcBorders>
            <w:shd w:val="clear" w:color="000000" w:fill="D9D9D9"/>
            <w:noWrap/>
            <w:vAlign w:val="center"/>
            <w:hideMark/>
          </w:tcPr>
          <w:p w14:paraId="05681F7D" w14:textId="77777777" w:rsidR="00596A55" w:rsidRPr="00513B34" w:rsidRDefault="00596A55" w:rsidP="00A02495">
            <w:pPr>
              <w:rPr>
                <w:b/>
                <w:bCs/>
                <w:sz w:val="18"/>
                <w:szCs w:val="18"/>
                <w:lang w:eastAsia="hr-HR"/>
              </w:rPr>
            </w:pPr>
            <w:r w:rsidRPr="00513B34">
              <w:rPr>
                <w:b/>
                <w:bCs/>
                <w:sz w:val="18"/>
                <w:szCs w:val="18"/>
                <w:lang w:eastAsia="hr-HR"/>
              </w:rPr>
              <w:t xml:space="preserve"> Predviđena  </w:t>
            </w:r>
          </w:p>
        </w:tc>
        <w:tc>
          <w:tcPr>
            <w:tcW w:w="1472" w:type="pct"/>
            <w:gridSpan w:val="2"/>
            <w:tcBorders>
              <w:top w:val="single" w:sz="8" w:space="0" w:color="404040" w:themeColor="text1" w:themeTint="BF"/>
              <w:bottom w:val="nil"/>
            </w:tcBorders>
            <w:shd w:val="clear" w:color="000000" w:fill="D9D9D9"/>
            <w:noWrap/>
            <w:vAlign w:val="center"/>
            <w:hideMark/>
          </w:tcPr>
          <w:p w14:paraId="068CBA35" w14:textId="225D1114" w:rsidR="00596A55" w:rsidRPr="00513B34" w:rsidRDefault="00596A55" w:rsidP="005D4C4F">
            <w:pPr>
              <w:jc w:val="center"/>
              <w:rPr>
                <w:b/>
                <w:bCs/>
                <w:sz w:val="18"/>
                <w:szCs w:val="18"/>
                <w:lang w:eastAsia="hr-HR"/>
              </w:rPr>
            </w:pPr>
            <w:r w:rsidRPr="00513B34">
              <w:rPr>
                <w:b/>
                <w:bCs/>
                <w:sz w:val="18"/>
                <w:szCs w:val="18"/>
                <w:lang w:eastAsia="hr-HR"/>
              </w:rPr>
              <w:t>Prosječna neto plaća</w:t>
            </w:r>
          </w:p>
        </w:tc>
      </w:tr>
      <w:tr w:rsidR="00596A55" w:rsidRPr="00513B34" w14:paraId="4A06A787" w14:textId="77777777" w:rsidTr="0094608E">
        <w:trPr>
          <w:trHeight w:val="255"/>
        </w:trPr>
        <w:tc>
          <w:tcPr>
            <w:tcW w:w="2647" w:type="pct"/>
            <w:vMerge/>
            <w:tcBorders>
              <w:top w:val="nil"/>
              <w:bottom w:val="single" w:sz="8" w:space="0" w:color="404040" w:themeColor="text1" w:themeTint="BF"/>
            </w:tcBorders>
            <w:vAlign w:val="center"/>
            <w:hideMark/>
          </w:tcPr>
          <w:p w14:paraId="533EC720" w14:textId="77777777" w:rsidR="00596A55" w:rsidRPr="00513B34" w:rsidRDefault="00596A55" w:rsidP="00A02495">
            <w:pPr>
              <w:rPr>
                <w:sz w:val="18"/>
                <w:szCs w:val="18"/>
                <w:lang w:eastAsia="hr-HR"/>
              </w:rPr>
            </w:pPr>
          </w:p>
        </w:tc>
        <w:tc>
          <w:tcPr>
            <w:tcW w:w="881" w:type="pct"/>
            <w:tcBorders>
              <w:top w:val="nil"/>
              <w:bottom w:val="single" w:sz="8" w:space="0" w:color="404040" w:themeColor="text1" w:themeTint="BF"/>
            </w:tcBorders>
            <w:shd w:val="clear" w:color="000000" w:fill="D9D9D9"/>
            <w:noWrap/>
            <w:vAlign w:val="center"/>
            <w:hideMark/>
          </w:tcPr>
          <w:p w14:paraId="2A69EB25" w14:textId="77777777" w:rsidR="00596A55" w:rsidRPr="00513B34" w:rsidRDefault="00596A55" w:rsidP="00A02495">
            <w:pPr>
              <w:rPr>
                <w:b/>
                <w:bCs/>
                <w:sz w:val="18"/>
                <w:szCs w:val="18"/>
                <w:lang w:eastAsia="hr-HR"/>
              </w:rPr>
            </w:pPr>
            <w:r w:rsidRPr="00513B34">
              <w:rPr>
                <w:b/>
                <w:bCs/>
                <w:sz w:val="18"/>
                <w:szCs w:val="18"/>
                <w:lang w:eastAsia="hr-HR"/>
              </w:rPr>
              <w:t xml:space="preserve"> kvalifikacija </w:t>
            </w:r>
          </w:p>
        </w:tc>
        <w:tc>
          <w:tcPr>
            <w:tcW w:w="737" w:type="pct"/>
            <w:tcBorders>
              <w:top w:val="nil"/>
              <w:bottom w:val="single" w:sz="8" w:space="0" w:color="404040" w:themeColor="text1" w:themeTint="BF"/>
            </w:tcBorders>
            <w:shd w:val="clear" w:color="000000" w:fill="D9D9D9"/>
            <w:noWrap/>
            <w:vAlign w:val="center"/>
            <w:hideMark/>
          </w:tcPr>
          <w:p w14:paraId="3C6EC016" w14:textId="77777777" w:rsidR="00596A55" w:rsidRPr="00513B34" w:rsidRDefault="00596A55" w:rsidP="00A02495">
            <w:pPr>
              <w:rPr>
                <w:b/>
                <w:bCs/>
                <w:sz w:val="18"/>
                <w:szCs w:val="18"/>
                <w:lang w:eastAsia="hr-HR"/>
              </w:rPr>
            </w:pPr>
            <w:r w:rsidRPr="00513B34">
              <w:rPr>
                <w:b/>
                <w:bCs/>
                <w:sz w:val="18"/>
                <w:szCs w:val="18"/>
                <w:lang w:eastAsia="hr-HR"/>
              </w:rPr>
              <w:t xml:space="preserve"> 2023.  </w:t>
            </w:r>
          </w:p>
        </w:tc>
        <w:tc>
          <w:tcPr>
            <w:tcW w:w="735" w:type="pct"/>
            <w:tcBorders>
              <w:top w:val="nil"/>
              <w:bottom w:val="single" w:sz="8" w:space="0" w:color="404040" w:themeColor="text1" w:themeTint="BF"/>
            </w:tcBorders>
            <w:shd w:val="clear" w:color="000000" w:fill="D9D9D9"/>
            <w:noWrap/>
            <w:vAlign w:val="center"/>
            <w:hideMark/>
          </w:tcPr>
          <w:p w14:paraId="7FCBD711" w14:textId="77777777" w:rsidR="00596A55" w:rsidRPr="00513B34" w:rsidRDefault="00596A55" w:rsidP="00A02495">
            <w:pPr>
              <w:rPr>
                <w:b/>
                <w:bCs/>
                <w:sz w:val="18"/>
                <w:szCs w:val="18"/>
                <w:lang w:eastAsia="hr-HR"/>
              </w:rPr>
            </w:pPr>
            <w:r w:rsidRPr="00513B34">
              <w:rPr>
                <w:b/>
                <w:bCs/>
                <w:sz w:val="18"/>
                <w:szCs w:val="18"/>
                <w:lang w:eastAsia="hr-HR"/>
              </w:rPr>
              <w:t xml:space="preserve"> 2024.  </w:t>
            </w:r>
          </w:p>
        </w:tc>
      </w:tr>
      <w:tr w:rsidR="00176574" w:rsidRPr="00513B34" w14:paraId="60266113" w14:textId="77777777" w:rsidTr="00176574">
        <w:trPr>
          <w:trHeight w:val="345"/>
        </w:trPr>
        <w:tc>
          <w:tcPr>
            <w:tcW w:w="2647" w:type="pct"/>
            <w:tcBorders>
              <w:top w:val="single" w:sz="8" w:space="0" w:color="404040" w:themeColor="text1" w:themeTint="BF"/>
              <w:bottom w:val="single" w:sz="8" w:space="0" w:color="BFBFBF" w:themeColor="background1" w:themeShade="BF"/>
            </w:tcBorders>
            <w:shd w:val="clear" w:color="auto" w:fill="auto"/>
            <w:noWrap/>
            <w:vAlign w:val="center"/>
            <w:hideMark/>
          </w:tcPr>
          <w:p w14:paraId="6BD5223D" w14:textId="6EEACCD7" w:rsidR="00176574" w:rsidRPr="00176574" w:rsidRDefault="00176574" w:rsidP="00176574">
            <w:pPr>
              <w:jc w:val="left"/>
              <w:rPr>
                <w:sz w:val="18"/>
                <w:szCs w:val="18"/>
                <w:lang w:eastAsia="hr-HR"/>
              </w:rPr>
            </w:pPr>
            <w:r w:rsidRPr="00176574">
              <w:rPr>
                <w:sz w:val="18"/>
                <w:szCs w:val="18"/>
              </w:rPr>
              <w:t xml:space="preserve"> Zamjenik direktora </w:t>
            </w:r>
          </w:p>
        </w:tc>
        <w:tc>
          <w:tcPr>
            <w:tcW w:w="881" w:type="pct"/>
            <w:tcBorders>
              <w:top w:val="single" w:sz="8" w:space="0" w:color="404040" w:themeColor="text1" w:themeTint="BF"/>
              <w:bottom w:val="single" w:sz="8" w:space="0" w:color="BFBFBF" w:themeColor="background1" w:themeShade="BF"/>
            </w:tcBorders>
            <w:shd w:val="clear" w:color="auto" w:fill="auto"/>
            <w:noWrap/>
            <w:vAlign w:val="center"/>
            <w:hideMark/>
          </w:tcPr>
          <w:p w14:paraId="6A8F7A8A" w14:textId="4FDE19B6" w:rsidR="00176574" w:rsidRPr="00176574" w:rsidRDefault="00176574" w:rsidP="00176574">
            <w:pPr>
              <w:jc w:val="center"/>
              <w:rPr>
                <w:sz w:val="18"/>
                <w:szCs w:val="18"/>
                <w:lang w:eastAsia="hr-HR"/>
              </w:rPr>
            </w:pPr>
            <w:r w:rsidRPr="00176574">
              <w:rPr>
                <w:sz w:val="18"/>
                <w:szCs w:val="18"/>
              </w:rPr>
              <w:t>VSS</w:t>
            </w:r>
          </w:p>
        </w:tc>
        <w:tc>
          <w:tcPr>
            <w:tcW w:w="737" w:type="pct"/>
            <w:tcBorders>
              <w:top w:val="single" w:sz="8" w:space="0" w:color="404040" w:themeColor="text1" w:themeTint="BF"/>
              <w:bottom w:val="single" w:sz="8" w:space="0" w:color="BFBFBF" w:themeColor="background1" w:themeShade="BF"/>
            </w:tcBorders>
            <w:shd w:val="clear" w:color="auto" w:fill="auto"/>
            <w:noWrap/>
            <w:vAlign w:val="center"/>
            <w:hideMark/>
          </w:tcPr>
          <w:p w14:paraId="1D5CEE0E" w14:textId="40DF5C11" w:rsidR="00176574" w:rsidRPr="00176574" w:rsidRDefault="00176574" w:rsidP="00176574">
            <w:pPr>
              <w:jc w:val="right"/>
              <w:rPr>
                <w:sz w:val="18"/>
                <w:szCs w:val="18"/>
                <w:lang w:eastAsia="hr-HR"/>
              </w:rPr>
            </w:pPr>
            <w:r w:rsidRPr="00176574">
              <w:rPr>
                <w:sz w:val="18"/>
                <w:szCs w:val="18"/>
              </w:rPr>
              <w:t>2.248,93</w:t>
            </w:r>
          </w:p>
        </w:tc>
        <w:tc>
          <w:tcPr>
            <w:tcW w:w="735" w:type="pct"/>
            <w:tcBorders>
              <w:top w:val="single" w:sz="8" w:space="0" w:color="404040" w:themeColor="text1" w:themeTint="BF"/>
              <w:bottom w:val="single" w:sz="8" w:space="0" w:color="BFBFBF" w:themeColor="background1" w:themeShade="BF"/>
            </w:tcBorders>
            <w:shd w:val="clear" w:color="auto" w:fill="auto"/>
            <w:noWrap/>
            <w:vAlign w:val="center"/>
            <w:hideMark/>
          </w:tcPr>
          <w:p w14:paraId="11255479" w14:textId="31C46442" w:rsidR="00176574" w:rsidRPr="00176574" w:rsidRDefault="00176574" w:rsidP="00176574">
            <w:pPr>
              <w:jc w:val="right"/>
              <w:rPr>
                <w:sz w:val="18"/>
                <w:szCs w:val="18"/>
                <w:lang w:eastAsia="hr-HR"/>
              </w:rPr>
            </w:pPr>
            <w:r w:rsidRPr="00176574">
              <w:rPr>
                <w:sz w:val="18"/>
                <w:szCs w:val="18"/>
              </w:rPr>
              <w:t>2.480,77</w:t>
            </w:r>
          </w:p>
        </w:tc>
      </w:tr>
      <w:tr w:rsidR="00176574" w:rsidRPr="00513B34" w14:paraId="480B09AD" w14:textId="77777777" w:rsidTr="00176574">
        <w:trPr>
          <w:trHeight w:val="345"/>
        </w:trPr>
        <w:tc>
          <w:tcPr>
            <w:tcW w:w="2647" w:type="pct"/>
            <w:tcBorders>
              <w:top w:val="single" w:sz="8" w:space="0" w:color="BFBFBF" w:themeColor="background1" w:themeShade="BF"/>
            </w:tcBorders>
            <w:shd w:val="clear" w:color="auto" w:fill="auto"/>
            <w:noWrap/>
            <w:vAlign w:val="center"/>
            <w:hideMark/>
          </w:tcPr>
          <w:p w14:paraId="09B857C6" w14:textId="7CF6CDF4" w:rsidR="00176574" w:rsidRPr="00176574" w:rsidRDefault="00176574" w:rsidP="00176574">
            <w:pPr>
              <w:jc w:val="left"/>
              <w:rPr>
                <w:sz w:val="18"/>
                <w:szCs w:val="18"/>
                <w:lang w:eastAsia="hr-HR"/>
              </w:rPr>
            </w:pPr>
            <w:r w:rsidRPr="00176574">
              <w:rPr>
                <w:sz w:val="18"/>
                <w:szCs w:val="18"/>
              </w:rPr>
              <w:t xml:space="preserve"> Rukovoditelj tehničkog sektora </w:t>
            </w:r>
          </w:p>
        </w:tc>
        <w:tc>
          <w:tcPr>
            <w:tcW w:w="881" w:type="pct"/>
            <w:tcBorders>
              <w:top w:val="single" w:sz="8" w:space="0" w:color="BFBFBF" w:themeColor="background1" w:themeShade="BF"/>
            </w:tcBorders>
            <w:shd w:val="clear" w:color="auto" w:fill="auto"/>
            <w:noWrap/>
            <w:vAlign w:val="center"/>
            <w:hideMark/>
          </w:tcPr>
          <w:p w14:paraId="000C0AD2" w14:textId="1A13BECF" w:rsidR="00176574" w:rsidRPr="00176574" w:rsidRDefault="00176574" w:rsidP="00176574">
            <w:pPr>
              <w:jc w:val="center"/>
              <w:rPr>
                <w:sz w:val="18"/>
                <w:szCs w:val="18"/>
                <w:lang w:eastAsia="hr-HR"/>
              </w:rPr>
            </w:pPr>
            <w:r w:rsidRPr="00176574">
              <w:rPr>
                <w:sz w:val="18"/>
                <w:szCs w:val="18"/>
              </w:rPr>
              <w:t>VSS</w:t>
            </w:r>
          </w:p>
        </w:tc>
        <w:tc>
          <w:tcPr>
            <w:tcW w:w="737" w:type="pct"/>
            <w:tcBorders>
              <w:top w:val="single" w:sz="8" w:space="0" w:color="BFBFBF" w:themeColor="background1" w:themeShade="BF"/>
            </w:tcBorders>
            <w:shd w:val="clear" w:color="auto" w:fill="auto"/>
            <w:noWrap/>
            <w:vAlign w:val="center"/>
            <w:hideMark/>
          </w:tcPr>
          <w:p w14:paraId="6907BD21" w14:textId="452A6F83" w:rsidR="00176574" w:rsidRPr="00176574" w:rsidRDefault="00176574" w:rsidP="00176574">
            <w:pPr>
              <w:jc w:val="right"/>
              <w:rPr>
                <w:sz w:val="18"/>
                <w:szCs w:val="18"/>
                <w:lang w:eastAsia="hr-HR"/>
              </w:rPr>
            </w:pPr>
            <w:r w:rsidRPr="00176574">
              <w:rPr>
                <w:sz w:val="18"/>
                <w:szCs w:val="18"/>
              </w:rPr>
              <w:t>2.125,16</w:t>
            </w:r>
          </w:p>
        </w:tc>
        <w:tc>
          <w:tcPr>
            <w:tcW w:w="735" w:type="pct"/>
            <w:tcBorders>
              <w:top w:val="single" w:sz="8" w:space="0" w:color="BFBFBF" w:themeColor="background1" w:themeShade="BF"/>
            </w:tcBorders>
            <w:shd w:val="clear" w:color="auto" w:fill="auto"/>
            <w:noWrap/>
            <w:vAlign w:val="center"/>
            <w:hideMark/>
          </w:tcPr>
          <w:p w14:paraId="68EF8696" w14:textId="3C1F92BF" w:rsidR="00176574" w:rsidRPr="00176574" w:rsidRDefault="00176574" w:rsidP="00176574">
            <w:pPr>
              <w:jc w:val="right"/>
              <w:rPr>
                <w:sz w:val="18"/>
                <w:szCs w:val="18"/>
                <w:lang w:eastAsia="hr-HR"/>
              </w:rPr>
            </w:pPr>
            <w:r w:rsidRPr="00176574">
              <w:rPr>
                <w:sz w:val="18"/>
                <w:szCs w:val="18"/>
              </w:rPr>
              <w:t>2.365,11</w:t>
            </w:r>
          </w:p>
        </w:tc>
      </w:tr>
      <w:tr w:rsidR="00176574" w:rsidRPr="00513B34" w14:paraId="1A11B807" w14:textId="77777777" w:rsidTr="00176574">
        <w:trPr>
          <w:trHeight w:val="345"/>
        </w:trPr>
        <w:tc>
          <w:tcPr>
            <w:tcW w:w="2647" w:type="pct"/>
            <w:shd w:val="clear" w:color="auto" w:fill="auto"/>
            <w:noWrap/>
            <w:vAlign w:val="center"/>
            <w:hideMark/>
          </w:tcPr>
          <w:p w14:paraId="2C258115" w14:textId="13D54C8E" w:rsidR="00176574" w:rsidRPr="00176574" w:rsidRDefault="00176574" w:rsidP="00176574">
            <w:pPr>
              <w:jc w:val="left"/>
              <w:rPr>
                <w:sz w:val="18"/>
                <w:szCs w:val="18"/>
                <w:lang w:eastAsia="hr-HR"/>
              </w:rPr>
            </w:pPr>
            <w:r w:rsidRPr="00176574">
              <w:rPr>
                <w:sz w:val="18"/>
                <w:szCs w:val="18"/>
              </w:rPr>
              <w:t xml:space="preserve"> Rukovoditelj ekonomskog sektora </w:t>
            </w:r>
          </w:p>
        </w:tc>
        <w:tc>
          <w:tcPr>
            <w:tcW w:w="881" w:type="pct"/>
            <w:shd w:val="clear" w:color="auto" w:fill="auto"/>
            <w:noWrap/>
            <w:vAlign w:val="center"/>
            <w:hideMark/>
          </w:tcPr>
          <w:p w14:paraId="35D5BE33" w14:textId="416C106A" w:rsidR="00176574" w:rsidRPr="00176574" w:rsidRDefault="00176574" w:rsidP="00176574">
            <w:pPr>
              <w:jc w:val="center"/>
              <w:rPr>
                <w:sz w:val="18"/>
                <w:szCs w:val="18"/>
                <w:lang w:eastAsia="hr-HR"/>
              </w:rPr>
            </w:pPr>
            <w:r w:rsidRPr="00176574">
              <w:rPr>
                <w:sz w:val="18"/>
                <w:szCs w:val="18"/>
              </w:rPr>
              <w:t>VSS</w:t>
            </w:r>
          </w:p>
        </w:tc>
        <w:tc>
          <w:tcPr>
            <w:tcW w:w="737" w:type="pct"/>
            <w:shd w:val="clear" w:color="auto" w:fill="auto"/>
            <w:noWrap/>
            <w:vAlign w:val="center"/>
            <w:hideMark/>
          </w:tcPr>
          <w:p w14:paraId="63EE6D83" w14:textId="4FAD71E6" w:rsidR="00176574" w:rsidRPr="00176574" w:rsidRDefault="00176574" w:rsidP="00176574">
            <w:pPr>
              <w:jc w:val="right"/>
              <w:rPr>
                <w:sz w:val="18"/>
                <w:szCs w:val="18"/>
                <w:lang w:eastAsia="hr-HR"/>
              </w:rPr>
            </w:pPr>
            <w:r w:rsidRPr="00176574">
              <w:rPr>
                <w:sz w:val="18"/>
                <w:szCs w:val="18"/>
              </w:rPr>
              <w:t>1.977,62</w:t>
            </w:r>
          </w:p>
        </w:tc>
        <w:tc>
          <w:tcPr>
            <w:tcW w:w="735" w:type="pct"/>
            <w:shd w:val="clear" w:color="auto" w:fill="auto"/>
            <w:noWrap/>
            <w:vAlign w:val="center"/>
            <w:hideMark/>
          </w:tcPr>
          <w:p w14:paraId="4CEC2344" w14:textId="6BA25DB9" w:rsidR="00176574" w:rsidRPr="00176574" w:rsidRDefault="00176574" w:rsidP="00176574">
            <w:pPr>
              <w:jc w:val="right"/>
              <w:rPr>
                <w:sz w:val="18"/>
                <w:szCs w:val="18"/>
                <w:lang w:eastAsia="hr-HR"/>
              </w:rPr>
            </w:pPr>
            <w:r w:rsidRPr="00176574">
              <w:rPr>
                <w:sz w:val="18"/>
                <w:szCs w:val="18"/>
              </w:rPr>
              <w:t>2.226,37</w:t>
            </w:r>
          </w:p>
        </w:tc>
      </w:tr>
      <w:tr w:rsidR="00176574" w:rsidRPr="00513B34" w14:paraId="76AD0591" w14:textId="77777777" w:rsidTr="00176574">
        <w:trPr>
          <w:trHeight w:val="345"/>
        </w:trPr>
        <w:tc>
          <w:tcPr>
            <w:tcW w:w="2647" w:type="pct"/>
            <w:shd w:val="clear" w:color="auto" w:fill="auto"/>
            <w:noWrap/>
            <w:vAlign w:val="center"/>
            <w:hideMark/>
          </w:tcPr>
          <w:p w14:paraId="34CDB398" w14:textId="473FD660" w:rsidR="00176574" w:rsidRPr="00176574" w:rsidRDefault="00176574" w:rsidP="00176574">
            <w:pPr>
              <w:jc w:val="left"/>
              <w:rPr>
                <w:sz w:val="18"/>
                <w:szCs w:val="18"/>
                <w:lang w:eastAsia="hr-HR"/>
              </w:rPr>
            </w:pPr>
            <w:r w:rsidRPr="00176574">
              <w:rPr>
                <w:sz w:val="18"/>
                <w:szCs w:val="18"/>
              </w:rPr>
              <w:t xml:space="preserve"> Rukovoditelj odjela elektro i strojnog održ. </w:t>
            </w:r>
          </w:p>
        </w:tc>
        <w:tc>
          <w:tcPr>
            <w:tcW w:w="881" w:type="pct"/>
            <w:shd w:val="clear" w:color="auto" w:fill="auto"/>
            <w:noWrap/>
            <w:vAlign w:val="center"/>
            <w:hideMark/>
          </w:tcPr>
          <w:p w14:paraId="526F99E5" w14:textId="3C3A22D5" w:rsidR="00176574" w:rsidRPr="00176574" w:rsidRDefault="00176574" w:rsidP="00176574">
            <w:pPr>
              <w:jc w:val="center"/>
              <w:rPr>
                <w:sz w:val="18"/>
                <w:szCs w:val="18"/>
                <w:lang w:eastAsia="hr-HR"/>
              </w:rPr>
            </w:pPr>
            <w:r w:rsidRPr="00176574">
              <w:rPr>
                <w:sz w:val="18"/>
                <w:szCs w:val="18"/>
              </w:rPr>
              <w:t>VŠS/VSS</w:t>
            </w:r>
          </w:p>
        </w:tc>
        <w:tc>
          <w:tcPr>
            <w:tcW w:w="737" w:type="pct"/>
            <w:shd w:val="clear" w:color="auto" w:fill="auto"/>
            <w:noWrap/>
            <w:vAlign w:val="center"/>
            <w:hideMark/>
          </w:tcPr>
          <w:p w14:paraId="1E6FD191" w14:textId="31E83DEE" w:rsidR="00176574" w:rsidRPr="00176574" w:rsidRDefault="00176574" w:rsidP="00176574">
            <w:pPr>
              <w:jc w:val="right"/>
              <w:rPr>
                <w:sz w:val="18"/>
                <w:szCs w:val="18"/>
                <w:lang w:eastAsia="hr-HR"/>
              </w:rPr>
            </w:pPr>
            <w:r w:rsidRPr="00176574">
              <w:rPr>
                <w:sz w:val="18"/>
                <w:szCs w:val="18"/>
              </w:rPr>
              <w:t>1.551,56</w:t>
            </w:r>
          </w:p>
        </w:tc>
        <w:tc>
          <w:tcPr>
            <w:tcW w:w="735" w:type="pct"/>
            <w:shd w:val="clear" w:color="auto" w:fill="auto"/>
            <w:noWrap/>
            <w:vAlign w:val="center"/>
            <w:hideMark/>
          </w:tcPr>
          <w:p w14:paraId="42C76651" w14:textId="5718AFFD" w:rsidR="00176574" w:rsidRPr="00176574" w:rsidRDefault="00176574" w:rsidP="00176574">
            <w:pPr>
              <w:jc w:val="right"/>
              <w:rPr>
                <w:sz w:val="18"/>
                <w:szCs w:val="18"/>
                <w:lang w:eastAsia="hr-HR"/>
              </w:rPr>
            </w:pPr>
            <w:r w:rsidRPr="00176574">
              <w:rPr>
                <w:sz w:val="18"/>
                <w:szCs w:val="18"/>
              </w:rPr>
              <w:t>2.001,14</w:t>
            </w:r>
          </w:p>
        </w:tc>
      </w:tr>
      <w:tr w:rsidR="00176574" w:rsidRPr="00513B34" w14:paraId="444A1679" w14:textId="77777777" w:rsidTr="00176574">
        <w:trPr>
          <w:trHeight w:val="345"/>
        </w:trPr>
        <w:tc>
          <w:tcPr>
            <w:tcW w:w="2647" w:type="pct"/>
            <w:shd w:val="clear" w:color="auto" w:fill="auto"/>
            <w:noWrap/>
            <w:vAlign w:val="center"/>
            <w:hideMark/>
          </w:tcPr>
          <w:p w14:paraId="66BB8B34" w14:textId="32D30D68" w:rsidR="00176574" w:rsidRPr="00176574" w:rsidRDefault="00176574" w:rsidP="00176574">
            <w:pPr>
              <w:jc w:val="left"/>
              <w:rPr>
                <w:sz w:val="18"/>
                <w:szCs w:val="18"/>
                <w:lang w:eastAsia="hr-HR"/>
              </w:rPr>
            </w:pPr>
            <w:r w:rsidRPr="00176574">
              <w:rPr>
                <w:sz w:val="18"/>
                <w:szCs w:val="18"/>
              </w:rPr>
              <w:t xml:space="preserve"> Voditelj održavanja sustava odvodnje </w:t>
            </w:r>
          </w:p>
        </w:tc>
        <w:tc>
          <w:tcPr>
            <w:tcW w:w="881" w:type="pct"/>
            <w:shd w:val="clear" w:color="auto" w:fill="auto"/>
            <w:noWrap/>
            <w:vAlign w:val="center"/>
            <w:hideMark/>
          </w:tcPr>
          <w:p w14:paraId="43D829B9" w14:textId="146459ED" w:rsidR="00176574" w:rsidRPr="00176574" w:rsidRDefault="00176574" w:rsidP="00176574">
            <w:pPr>
              <w:jc w:val="center"/>
              <w:rPr>
                <w:sz w:val="18"/>
                <w:szCs w:val="18"/>
                <w:lang w:eastAsia="hr-HR"/>
              </w:rPr>
            </w:pPr>
            <w:r w:rsidRPr="00176574">
              <w:rPr>
                <w:sz w:val="18"/>
                <w:szCs w:val="18"/>
              </w:rPr>
              <w:t>VŠS/VSS</w:t>
            </w:r>
          </w:p>
        </w:tc>
        <w:tc>
          <w:tcPr>
            <w:tcW w:w="737" w:type="pct"/>
            <w:shd w:val="clear" w:color="auto" w:fill="auto"/>
            <w:noWrap/>
            <w:vAlign w:val="center"/>
            <w:hideMark/>
          </w:tcPr>
          <w:p w14:paraId="56C58442" w14:textId="22F978F5" w:rsidR="00176574" w:rsidRPr="00176574" w:rsidRDefault="00176574" w:rsidP="00176574">
            <w:pPr>
              <w:jc w:val="right"/>
              <w:rPr>
                <w:sz w:val="18"/>
                <w:szCs w:val="18"/>
                <w:lang w:eastAsia="hr-HR"/>
              </w:rPr>
            </w:pPr>
            <w:r w:rsidRPr="00176574">
              <w:rPr>
                <w:sz w:val="18"/>
                <w:szCs w:val="18"/>
              </w:rPr>
              <w:t>1.450,98</w:t>
            </w:r>
          </w:p>
        </w:tc>
        <w:tc>
          <w:tcPr>
            <w:tcW w:w="735" w:type="pct"/>
            <w:shd w:val="clear" w:color="auto" w:fill="auto"/>
            <w:noWrap/>
            <w:vAlign w:val="center"/>
            <w:hideMark/>
          </w:tcPr>
          <w:p w14:paraId="726FC0F3" w14:textId="7E7C6C62" w:rsidR="00176574" w:rsidRPr="00176574" w:rsidRDefault="00176574" w:rsidP="00176574">
            <w:pPr>
              <w:jc w:val="right"/>
              <w:rPr>
                <w:sz w:val="18"/>
                <w:szCs w:val="18"/>
                <w:lang w:eastAsia="hr-HR"/>
              </w:rPr>
            </w:pPr>
            <w:r w:rsidRPr="00176574">
              <w:rPr>
                <w:sz w:val="18"/>
                <w:szCs w:val="18"/>
              </w:rPr>
              <w:t>1.625,72</w:t>
            </w:r>
          </w:p>
        </w:tc>
      </w:tr>
      <w:tr w:rsidR="00176574" w:rsidRPr="00513B34" w14:paraId="2529D4DC" w14:textId="77777777" w:rsidTr="00176574">
        <w:trPr>
          <w:trHeight w:val="345"/>
        </w:trPr>
        <w:tc>
          <w:tcPr>
            <w:tcW w:w="2647" w:type="pct"/>
            <w:shd w:val="clear" w:color="auto" w:fill="auto"/>
            <w:noWrap/>
            <w:vAlign w:val="center"/>
            <w:hideMark/>
          </w:tcPr>
          <w:p w14:paraId="694D04E2" w14:textId="51DA35FA" w:rsidR="00176574" w:rsidRPr="00176574" w:rsidRDefault="00176574" w:rsidP="00176574">
            <w:pPr>
              <w:jc w:val="left"/>
              <w:rPr>
                <w:sz w:val="18"/>
                <w:szCs w:val="18"/>
                <w:lang w:eastAsia="hr-HR"/>
              </w:rPr>
            </w:pPr>
            <w:r w:rsidRPr="00176574">
              <w:rPr>
                <w:sz w:val="18"/>
                <w:szCs w:val="18"/>
              </w:rPr>
              <w:t xml:space="preserve"> Referent zaštite na radu i osiguranja imovine </w:t>
            </w:r>
          </w:p>
        </w:tc>
        <w:tc>
          <w:tcPr>
            <w:tcW w:w="881" w:type="pct"/>
            <w:shd w:val="clear" w:color="auto" w:fill="auto"/>
            <w:noWrap/>
            <w:vAlign w:val="center"/>
            <w:hideMark/>
          </w:tcPr>
          <w:p w14:paraId="4AC145A4" w14:textId="5C2F38A9" w:rsidR="00176574" w:rsidRPr="00176574" w:rsidRDefault="00176574" w:rsidP="00176574">
            <w:pPr>
              <w:jc w:val="center"/>
              <w:rPr>
                <w:sz w:val="18"/>
                <w:szCs w:val="18"/>
                <w:lang w:eastAsia="hr-HR"/>
              </w:rPr>
            </w:pPr>
            <w:r w:rsidRPr="00176574">
              <w:rPr>
                <w:sz w:val="18"/>
                <w:szCs w:val="18"/>
              </w:rPr>
              <w:t>VSS</w:t>
            </w:r>
          </w:p>
        </w:tc>
        <w:tc>
          <w:tcPr>
            <w:tcW w:w="737" w:type="pct"/>
            <w:shd w:val="clear" w:color="auto" w:fill="auto"/>
            <w:noWrap/>
            <w:vAlign w:val="center"/>
            <w:hideMark/>
          </w:tcPr>
          <w:p w14:paraId="739981DC" w14:textId="2ABC2190" w:rsidR="00176574" w:rsidRPr="00176574" w:rsidRDefault="00176574" w:rsidP="00176574">
            <w:pPr>
              <w:jc w:val="right"/>
              <w:rPr>
                <w:sz w:val="18"/>
                <w:szCs w:val="18"/>
                <w:lang w:eastAsia="hr-HR"/>
              </w:rPr>
            </w:pPr>
            <w:r w:rsidRPr="00176574">
              <w:rPr>
                <w:sz w:val="18"/>
                <w:szCs w:val="18"/>
              </w:rPr>
              <w:t>1.415,39</w:t>
            </w:r>
          </w:p>
        </w:tc>
        <w:tc>
          <w:tcPr>
            <w:tcW w:w="735" w:type="pct"/>
            <w:shd w:val="clear" w:color="auto" w:fill="auto"/>
            <w:noWrap/>
            <w:vAlign w:val="center"/>
            <w:hideMark/>
          </w:tcPr>
          <w:p w14:paraId="6317DA98" w14:textId="200A963C" w:rsidR="00176574" w:rsidRPr="00176574" w:rsidRDefault="00176574" w:rsidP="00176574">
            <w:pPr>
              <w:jc w:val="right"/>
              <w:rPr>
                <w:sz w:val="18"/>
                <w:szCs w:val="18"/>
                <w:lang w:eastAsia="hr-HR"/>
              </w:rPr>
            </w:pPr>
            <w:r w:rsidRPr="00176574">
              <w:rPr>
                <w:sz w:val="18"/>
                <w:szCs w:val="18"/>
              </w:rPr>
              <w:t>1.570,54</w:t>
            </w:r>
          </w:p>
        </w:tc>
      </w:tr>
      <w:tr w:rsidR="00176574" w:rsidRPr="00513B34" w14:paraId="08DBA3A6" w14:textId="77777777" w:rsidTr="00176574">
        <w:trPr>
          <w:trHeight w:val="345"/>
        </w:trPr>
        <w:tc>
          <w:tcPr>
            <w:tcW w:w="2647" w:type="pct"/>
            <w:shd w:val="clear" w:color="auto" w:fill="auto"/>
            <w:noWrap/>
            <w:vAlign w:val="center"/>
            <w:hideMark/>
          </w:tcPr>
          <w:p w14:paraId="50D7B504" w14:textId="1148D432" w:rsidR="00176574" w:rsidRPr="00176574" w:rsidRDefault="00176574" w:rsidP="00176574">
            <w:pPr>
              <w:jc w:val="left"/>
              <w:rPr>
                <w:sz w:val="18"/>
                <w:szCs w:val="18"/>
                <w:lang w:eastAsia="hr-HR"/>
              </w:rPr>
            </w:pPr>
            <w:r w:rsidRPr="00176574">
              <w:rPr>
                <w:sz w:val="18"/>
                <w:szCs w:val="18"/>
              </w:rPr>
              <w:t xml:space="preserve"> Dispečer </w:t>
            </w:r>
          </w:p>
        </w:tc>
        <w:tc>
          <w:tcPr>
            <w:tcW w:w="881" w:type="pct"/>
            <w:shd w:val="clear" w:color="auto" w:fill="auto"/>
            <w:noWrap/>
            <w:vAlign w:val="center"/>
            <w:hideMark/>
          </w:tcPr>
          <w:p w14:paraId="7E484406" w14:textId="729C0FF2" w:rsidR="00176574" w:rsidRPr="00176574" w:rsidRDefault="00176574" w:rsidP="00176574">
            <w:pPr>
              <w:jc w:val="center"/>
              <w:rPr>
                <w:sz w:val="18"/>
                <w:szCs w:val="18"/>
                <w:lang w:eastAsia="hr-HR"/>
              </w:rPr>
            </w:pPr>
            <w:r w:rsidRPr="00176574">
              <w:rPr>
                <w:sz w:val="18"/>
                <w:szCs w:val="18"/>
              </w:rPr>
              <w:t>KV/SSS</w:t>
            </w:r>
          </w:p>
        </w:tc>
        <w:tc>
          <w:tcPr>
            <w:tcW w:w="737" w:type="pct"/>
            <w:shd w:val="clear" w:color="auto" w:fill="auto"/>
            <w:noWrap/>
            <w:vAlign w:val="center"/>
            <w:hideMark/>
          </w:tcPr>
          <w:p w14:paraId="356697C3" w14:textId="30EBE8BF" w:rsidR="00176574" w:rsidRPr="00176574" w:rsidRDefault="00176574" w:rsidP="00176574">
            <w:pPr>
              <w:jc w:val="right"/>
              <w:rPr>
                <w:sz w:val="18"/>
                <w:szCs w:val="18"/>
                <w:lang w:eastAsia="hr-HR"/>
              </w:rPr>
            </w:pPr>
            <w:r w:rsidRPr="00176574">
              <w:rPr>
                <w:sz w:val="18"/>
                <w:szCs w:val="18"/>
              </w:rPr>
              <w:t>1.387,00</w:t>
            </w:r>
          </w:p>
        </w:tc>
        <w:tc>
          <w:tcPr>
            <w:tcW w:w="735" w:type="pct"/>
            <w:shd w:val="clear" w:color="auto" w:fill="auto"/>
            <w:noWrap/>
            <w:vAlign w:val="center"/>
            <w:hideMark/>
          </w:tcPr>
          <w:p w14:paraId="3BD8D7CD" w14:textId="4BEE47A1" w:rsidR="00176574" w:rsidRPr="00176574" w:rsidRDefault="00176574" w:rsidP="00176574">
            <w:pPr>
              <w:jc w:val="right"/>
              <w:rPr>
                <w:sz w:val="18"/>
                <w:szCs w:val="18"/>
                <w:lang w:eastAsia="hr-HR"/>
              </w:rPr>
            </w:pPr>
            <w:r w:rsidRPr="00176574">
              <w:rPr>
                <w:sz w:val="18"/>
                <w:szCs w:val="18"/>
              </w:rPr>
              <w:t>1.525,73</w:t>
            </w:r>
          </w:p>
        </w:tc>
      </w:tr>
      <w:tr w:rsidR="00176574" w:rsidRPr="00513B34" w14:paraId="04DA7124" w14:textId="77777777" w:rsidTr="00176574">
        <w:trPr>
          <w:trHeight w:val="345"/>
        </w:trPr>
        <w:tc>
          <w:tcPr>
            <w:tcW w:w="2647" w:type="pct"/>
            <w:shd w:val="clear" w:color="auto" w:fill="auto"/>
            <w:noWrap/>
            <w:vAlign w:val="center"/>
            <w:hideMark/>
          </w:tcPr>
          <w:p w14:paraId="6D21D86A" w14:textId="7941355C" w:rsidR="00176574" w:rsidRPr="00176574" w:rsidRDefault="00176574" w:rsidP="00176574">
            <w:pPr>
              <w:jc w:val="left"/>
              <w:rPr>
                <w:sz w:val="18"/>
                <w:szCs w:val="18"/>
                <w:lang w:eastAsia="hr-HR"/>
              </w:rPr>
            </w:pPr>
            <w:r w:rsidRPr="00176574">
              <w:rPr>
                <w:sz w:val="18"/>
                <w:szCs w:val="18"/>
              </w:rPr>
              <w:t xml:space="preserve"> Monter I      </w:t>
            </w:r>
          </w:p>
        </w:tc>
        <w:tc>
          <w:tcPr>
            <w:tcW w:w="881" w:type="pct"/>
            <w:shd w:val="clear" w:color="auto" w:fill="auto"/>
            <w:noWrap/>
            <w:vAlign w:val="center"/>
            <w:hideMark/>
          </w:tcPr>
          <w:p w14:paraId="467854CA" w14:textId="525F7E8E" w:rsidR="00176574" w:rsidRPr="00176574" w:rsidRDefault="00176574" w:rsidP="00176574">
            <w:pPr>
              <w:jc w:val="center"/>
              <w:rPr>
                <w:sz w:val="18"/>
                <w:szCs w:val="18"/>
                <w:lang w:eastAsia="hr-HR"/>
              </w:rPr>
            </w:pPr>
            <w:r w:rsidRPr="00176574">
              <w:rPr>
                <w:sz w:val="18"/>
                <w:szCs w:val="18"/>
              </w:rPr>
              <w:t>VKV</w:t>
            </w:r>
          </w:p>
        </w:tc>
        <w:tc>
          <w:tcPr>
            <w:tcW w:w="737" w:type="pct"/>
            <w:shd w:val="clear" w:color="auto" w:fill="auto"/>
            <w:noWrap/>
            <w:vAlign w:val="center"/>
            <w:hideMark/>
          </w:tcPr>
          <w:p w14:paraId="1159B402" w14:textId="39AD8CA3" w:rsidR="00176574" w:rsidRPr="00176574" w:rsidRDefault="00176574" w:rsidP="00176574">
            <w:pPr>
              <w:jc w:val="right"/>
              <w:rPr>
                <w:sz w:val="18"/>
                <w:szCs w:val="18"/>
                <w:lang w:eastAsia="hr-HR"/>
              </w:rPr>
            </w:pPr>
            <w:r w:rsidRPr="00176574">
              <w:rPr>
                <w:sz w:val="18"/>
                <w:szCs w:val="18"/>
              </w:rPr>
              <w:t>1.216,90</w:t>
            </w:r>
          </w:p>
        </w:tc>
        <w:tc>
          <w:tcPr>
            <w:tcW w:w="735" w:type="pct"/>
            <w:shd w:val="clear" w:color="auto" w:fill="auto"/>
            <w:noWrap/>
            <w:vAlign w:val="center"/>
            <w:hideMark/>
          </w:tcPr>
          <w:p w14:paraId="395B7669" w14:textId="5C3313BC" w:rsidR="00176574" w:rsidRPr="00176574" w:rsidRDefault="00176574" w:rsidP="00176574">
            <w:pPr>
              <w:jc w:val="right"/>
              <w:rPr>
                <w:sz w:val="18"/>
                <w:szCs w:val="18"/>
                <w:lang w:eastAsia="hr-HR"/>
              </w:rPr>
            </w:pPr>
            <w:r w:rsidRPr="00176574">
              <w:rPr>
                <w:sz w:val="18"/>
                <w:szCs w:val="18"/>
              </w:rPr>
              <w:t>1.373,09</w:t>
            </w:r>
          </w:p>
        </w:tc>
      </w:tr>
      <w:tr w:rsidR="00176574" w:rsidRPr="00513B34" w14:paraId="5AE076DB" w14:textId="77777777" w:rsidTr="00176574">
        <w:trPr>
          <w:trHeight w:val="345"/>
        </w:trPr>
        <w:tc>
          <w:tcPr>
            <w:tcW w:w="2647" w:type="pct"/>
            <w:shd w:val="clear" w:color="auto" w:fill="auto"/>
            <w:noWrap/>
            <w:vAlign w:val="center"/>
            <w:hideMark/>
          </w:tcPr>
          <w:p w14:paraId="4B332122" w14:textId="55884EB0" w:rsidR="00176574" w:rsidRPr="00176574" w:rsidRDefault="00176574" w:rsidP="00176574">
            <w:pPr>
              <w:jc w:val="left"/>
              <w:rPr>
                <w:sz w:val="18"/>
                <w:szCs w:val="18"/>
                <w:lang w:eastAsia="hr-HR"/>
              </w:rPr>
            </w:pPr>
            <w:r w:rsidRPr="00176574">
              <w:rPr>
                <w:sz w:val="18"/>
                <w:szCs w:val="18"/>
              </w:rPr>
              <w:t xml:space="preserve"> Referent za pripremu i vođenje tehničke arhive </w:t>
            </w:r>
          </w:p>
        </w:tc>
        <w:tc>
          <w:tcPr>
            <w:tcW w:w="881" w:type="pct"/>
            <w:shd w:val="clear" w:color="auto" w:fill="auto"/>
            <w:noWrap/>
            <w:vAlign w:val="center"/>
            <w:hideMark/>
          </w:tcPr>
          <w:p w14:paraId="038AF1E4" w14:textId="48BD5CF8" w:rsidR="00176574" w:rsidRPr="00176574" w:rsidRDefault="00176574" w:rsidP="00176574">
            <w:pPr>
              <w:jc w:val="center"/>
              <w:rPr>
                <w:sz w:val="18"/>
                <w:szCs w:val="18"/>
                <w:lang w:eastAsia="hr-HR"/>
              </w:rPr>
            </w:pPr>
            <w:r w:rsidRPr="00176574">
              <w:rPr>
                <w:sz w:val="18"/>
                <w:szCs w:val="18"/>
              </w:rPr>
              <w:t>SSS</w:t>
            </w:r>
          </w:p>
        </w:tc>
        <w:tc>
          <w:tcPr>
            <w:tcW w:w="737" w:type="pct"/>
            <w:shd w:val="clear" w:color="auto" w:fill="auto"/>
            <w:noWrap/>
            <w:vAlign w:val="center"/>
            <w:hideMark/>
          </w:tcPr>
          <w:p w14:paraId="046E77D2" w14:textId="78AE7B3D" w:rsidR="00176574" w:rsidRPr="00176574" w:rsidRDefault="00176574" w:rsidP="00176574">
            <w:pPr>
              <w:jc w:val="right"/>
              <w:rPr>
                <w:sz w:val="18"/>
                <w:szCs w:val="18"/>
                <w:lang w:eastAsia="hr-HR"/>
              </w:rPr>
            </w:pPr>
            <w:r w:rsidRPr="00176574">
              <w:rPr>
                <w:sz w:val="18"/>
                <w:szCs w:val="18"/>
              </w:rPr>
              <w:t>1.145,09</w:t>
            </w:r>
          </w:p>
        </w:tc>
        <w:tc>
          <w:tcPr>
            <w:tcW w:w="735" w:type="pct"/>
            <w:shd w:val="clear" w:color="auto" w:fill="auto"/>
            <w:noWrap/>
            <w:vAlign w:val="center"/>
            <w:hideMark/>
          </w:tcPr>
          <w:p w14:paraId="1CF76B6A" w14:textId="1356BC6F" w:rsidR="00176574" w:rsidRPr="00176574" w:rsidRDefault="00176574" w:rsidP="00176574">
            <w:pPr>
              <w:jc w:val="right"/>
              <w:rPr>
                <w:sz w:val="18"/>
                <w:szCs w:val="18"/>
                <w:lang w:eastAsia="hr-HR"/>
              </w:rPr>
            </w:pPr>
            <w:r w:rsidRPr="00176574">
              <w:rPr>
                <w:sz w:val="18"/>
                <w:szCs w:val="18"/>
              </w:rPr>
              <w:t>1.345,40</w:t>
            </w:r>
          </w:p>
        </w:tc>
      </w:tr>
      <w:tr w:rsidR="00176574" w:rsidRPr="00513B34" w14:paraId="42E2AEBE" w14:textId="77777777" w:rsidTr="00176574">
        <w:trPr>
          <w:trHeight w:val="345"/>
        </w:trPr>
        <w:tc>
          <w:tcPr>
            <w:tcW w:w="2647" w:type="pct"/>
            <w:shd w:val="clear" w:color="auto" w:fill="auto"/>
            <w:noWrap/>
            <w:vAlign w:val="center"/>
            <w:hideMark/>
          </w:tcPr>
          <w:p w14:paraId="703C95FC" w14:textId="4B542746" w:rsidR="00176574" w:rsidRPr="00176574" w:rsidRDefault="00176574" w:rsidP="00176574">
            <w:pPr>
              <w:jc w:val="left"/>
              <w:rPr>
                <w:sz w:val="18"/>
                <w:szCs w:val="18"/>
                <w:lang w:eastAsia="hr-HR"/>
              </w:rPr>
            </w:pPr>
            <w:r w:rsidRPr="00176574">
              <w:rPr>
                <w:sz w:val="18"/>
                <w:szCs w:val="18"/>
              </w:rPr>
              <w:t xml:space="preserve"> Poslovođa održavanja </w:t>
            </w:r>
          </w:p>
        </w:tc>
        <w:tc>
          <w:tcPr>
            <w:tcW w:w="881" w:type="pct"/>
            <w:shd w:val="clear" w:color="auto" w:fill="auto"/>
            <w:noWrap/>
            <w:vAlign w:val="center"/>
            <w:hideMark/>
          </w:tcPr>
          <w:p w14:paraId="5F52CA00" w14:textId="48E647DD" w:rsidR="00176574" w:rsidRPr="00176574" w:rsidRDefault="00176574" w:rsidP="00176574">
            <w:pPr>
              <w:jc w:val="center"/>
              <w:rPr>
                <w:sz w:val="18"/>
                <w:szCs w:val="18"/>
                <w:lang w:eastAsia="hr-HR"/>
              </w:rPr>
            </w:pPr>
            <w:r w:rsidRPr="00176574">
              <w:rPr>
                <w:sz w:val="18"/>
                <w:szCs w:val="18"/>
              </w:rPr>
              <w:t>VKV</w:t>
            </w:r>
          </w:p>
        </w:tc>
        <w:tc>
          <w:tcPr>
            <w:tcW w:w="737" w:type="pct"/>
            <w:shd w:val="clear" w:color="auto" w:fill="auto"/>
            <w:noWrap/>
            <w:vAlign w:val="center"/>
            <w:hideMark/>
          </w:tcPr>
          <w:p w14:paraId="061C39BF" w14:textId="08C45229" w:rsidR="00176574" w:rsidRPr="00176574" w:rsidRDefault="00176574" w:rsidP="00176574">
            <w:pPr>
              <w:jc w:val="right"/>
              <w:rPr>
                <w:sz w:val="18"/>
                <w:szCs w:val="18"/>
                <w:lang w:eastAsia="hr-HR"/>
              </w:rPr>
            </w:pPr>
            <w:r w:rsidRPr="00176574">
              <w:rPr>
                <w:sz w:val="18"/>
                <w:szCs w:val="18"/>
              </w:rPr>
              <w:t>1.177,81</w:t>
            </w:r>
          </w:p>
        </w:tc>
        <w:tc>
          <w:tcPr>
            <w:tcW w:w="735" w:type="pct"/>
            <w:shd w:val="clear" w:color="auto" w:fill="auto"/>
            <w:noWrap/>
            <w:vAlign w:val="center"/>
            <w:hideMark/>
          </w:tcPr>
          <w:p w14:paraId="03DFFC67" w14:textId="3B8FC0C2" w:rsidR="00176574" w:rsidRPr="00176574" w:rsidRDefault="00176574" w:rsidP="00176574">
            <w:pPr>
              <w:jc w:val="right"/>
              <w:rPr>
                <w:sz w:val="18"/>
                <w:szCs w:val="18"/>
                <w:lang w:eastAsia="hr-HR"/>
              </w:rPr>
            </w:pPr>
            <w:r w:rsidRPr="00176574">
              <w:rPr>
                <w:sz w:val="18"/>
                <w:szCs w:val="18"/>
              </w:rPr>
              <w:t>1.323,10</w:t>
            </w:r>
          </w:p>
        </w:tc>
      </w:tr>
      <w:tr w:rsidR="00176574" w:rsidRPr="00513B34" w14:paraId="35818532" w14:textId="77777777" w:rsidTr="00176574">
        <w:trPr>
          <w:trHeight w:val="345"/>
        </w:trPr>
        <w:tc>
          <w:tcPr>
            <w:tcW w:w="2647" w:type="pct"/>
            <w:shd w:val="clear" w:color="auto" w:fill="auto"/>
            <w:noWrap/>
            <w:vAlign w:val="center"/>
            <w:hideMark/>
          </w:tcPr>
          <w:p w14:paraId="0D569920" w14:textId="538418EE" w:rsidR="00176574" w:rsidRPr="00176574" w:rsidRDefault="00176574" w:rsidP="00176574">
            <w:pPr>
              <w:jc w:val="left"/>
              <w:rPr>
                <w:sz w:val="18"/>
                <w:szCs w:val="18"/>
                <w:lang w:eastAsia="hr-HR"/>
              </w:rPr>
            </w:pPr>
            <w:r w:rsidRPr="00176574">
              <w:rPr>
                <w:sz w:val="18"/>
                <w:szCs w:val="18"/>
              </w:rPr>
              <w:t xml:space="preserve"> Elektroničar I </w:t>
            </w:r>
          </w:p>
        </w:tc>
        <w:tc>
          <w:tcPr>
            <w:tcW w:w="881" w:type="pct"/>
            <w:shd w:val="clear" w:color="auto" w:fill="auto"/>
            <w:noWrap/>
            <w:vAlign w:val="center"/>
            <w:hideMark/>
          </w:tcPr>
          <w:p w14:paraId="4E3D1BE5" w14:textId="302C62BB" w:rsidR="00176574" w:rsidRPr="00176574" w:rsidRDefault="00176574" w:rsidP="00176574">
            <w:pPr>
              <w:jc w:val="center"/>
              <w:rPr>
                <w:sz w:val="18"/>
                <w:szCs w:val="18"/>
                <w:lang w:eastAsia="hr-HR"/>
              </w:rPr>
            </w:pPr>
            <w:r w:rsidRPr="00176574">
              <w:rPr>
                <w:sz w:val="18"/>
                <w:szCs w:val="18"/>
              </w:rPr>
              <w:t>SSS/VKV</w:t>
            </w:r>
          </w:p>
        </w:tc>
        <w:tc>
          <w:tcPr>
            <w:tcW w:w="737" w:type="pct"/>
            <w:shd w:val="clear" w:color="auto" w:fill="auto"/>
            <w:noWrap/>
            <w:vAlign w:val="center"/>
            <w:hideMark/>
          </w:tcPr>
          <w:p w14:paraId="1963EDAC" w14:textId="3EC678CF" w:rsidR="00176574" w:rsidRPr="00176574" w:rsidRDefault="00176574" w:rsidP="00176574">
            <w:pPr>
              <w:jc w:val="right"/>
              <w:rPr>
                <w:sz w:val="18"/>
                <w:szCs w:val="18"/>
                <w:lang w:eastAsia="hr-HR"/>
              </w:rPr>
            </w:pPr>
            <w:r w:rsidRPr="00176574">
              <w:rPr>
                <w:sz w:val="18"/>
                <w:szCs w:val="18"/>
              </w:rPr>
              <w:t>1.106,09</w:t>
            </w:r>
          </w:p>
        </w:tc>
        <w:tc>
          <w:tcPr>
            <w:tcW w:w="735" w:type="pct"/>
            <w:shd w:val="clear" w:color="auto" w:fill="auto"/>
            <w:noWrap/>
            <w:vAlign w:val="center"/>
            <w:hideMark/>
          </w:tcPr>
          <w:p w14:paraId="29A18BEB" w14:textId="565942BC" w:rsidR="00176574" w:rsidRPr="00176574" w:rsidRDefault="00176574" w:rsidP="00176574">
            <w:pPr>
              <w:jc w:val="right"/>
              <w:rPr>
                <w:sz w:val="18"/>
                <w:szCs w:val="18"/>
                <w:lang w:eastAsia="hr-HR"/>
              </w:rPr>
            </w:pPr>
            <w:r w:rsidRPr="00176574">
              <w:rPr>
                <w:sz w:val="18"/>
                <w:szCs w:val="18"/>
              </w:rPr>
              <w:t>1.288,27</w:t>
            </w:r>
          </w:p>
        </w:tc>
      </w:tr>
      <w:tr w:rsidR="00176574" w:rsidRPr="00513B34" w14:paraId="3431B3C0" w14:textId="77777777" w:rsidTr="00176574">
        <w:trPr>
          <w:trHeight w:val="345"/>
        </w:trPr>
        <w:tc>
          <w:tcPr>
            <w:tcW w:w="2647" w:type="pct"/>
            <w:shd w:val="clear" w:color="auto" w:fill="auto"/>
            <w:noWrap/>
            <w:vAlign w:val="center"/>
            <w:hideMark/>
          </w:tcPr>
          <w:p w14:paraId="44DFAC4D" w14:textId="7FE58DCC" w:rsidR="00176574" w:rsidRPr="00176574" w:rsidRDefault="00176574" w:rsidP="00176574">
            <w:pPr>
              <w:jc w:val="left"/>
              <w:rPr>
                <w:sz w:val="18"/>
                <w:szCs w:val="18"/>
                <w:lang w:eastAsia="hr-HR"/>
              </w:rPr>
            </w:pPr>
            <w:r w:rsidRPr="00176574">
              <w:rPr>
                <w:sz w:val="18"/>
                <w:szCs w:val="18"/>
              </w:rPr>
              <w:t xml:space="preserve"> Poslovođa - glavni dispečer </w:t>
            </w:r>
          </w:p>
        </w:tc>
        <w:tc>
          <w:tcPr>
            <w:tcW w:w="881" w:type="pct"/>
            <w:shd w:val="clear" w:color="auto" w:fill="auto"/>
            <w:noWrap/>
            <w:vAlign w:val="center"/>
            <w:hideMark/>
          </w:tcPr>
          <w:p w14:paraId="53E1D758" w14:textId="0801D86B" w:rsidR="00176574" w:rsidRPr="00176574" w:rsidRDefault="00176574" w:rsidP="00176574">
            <w:pPr>
              <w:jc w:val="center"/>
              <w:rPr>
                <w:sz w:val="18"/>
                <w:szCs w:val="18"/>
                <w:lang w:eastAsia="hr-HR"/>
              </w:rPr>
            </w:pPr>
            <w:r w:rsidRPr="00176574">
              <w:rPr>
                <w:sz w:val="18"/>
                <w:szCs w:val="18"/>
              </w:rPr>
              <w:t>SSS</w:t>
            </w:r>
          </w:p>
        </w:tc>
        <w:tc>
          <w:tcPr>
            <w:tcW w:w="737" w:type="pct"/>
            <w:shd w:val="clear" w:color="auto" w:fill="auto"/>
            <w:noWrap/>
            <w:vAlign w:val="center"/>
            <w:hideMark/>
          </w:tcPr>
          <w:p w14:paraId="1A0F2EDA" w14:textId="063D6D6E" w:rsidR="00176574" w:rsidRPr="00176574" w:rsidRDefault="00176574" w:rsidP="00176574">
            <w:pPr>
              <w:jc w:val="right"/>
              <w:rPr>
                <w:sz w:val="18"/>
                <w:szCs w:val="18"/>
                <w:lang w:eastAsia="hr-HR"/>
              </w:rPr>
            </w:pPr>
            <w:r w:rsidRPr="00176574">
              <w:rPr>
                <w:sz w:val="18"/>
                <w:szCs w:val="18"/>
              </w:rPr>
              <w:t>1.160,10</w:t>
            </w:r>
          </w:p>
        </w:tc>
        <w:tc>
          <w:tcPr>
            <w:tcW w:w="735" w:type="pct"/>
            <w:shd w:val="clear" w:color="auto" w:fill="auto"/>
            <w:noWrap/>
            <w:vAlign w:val="center"/>
            <w:hideMark/>
          </w:tcPr>
          <w:p w14:paraId="5385198A" w14:textId="5D5F571B" w:rsidR="00176574" w:rsidRPr="00176574" w:rsidRDefault="00176574" w:rsidP="00176574">
            <w:pPr>
              <w:jc w:val="right"/>
              <w:rPr>
                <w:sz w:val="18"/>
                <w:szCs w:val="18"/>
                <w:lang w:eastAsia="hr-HR"/>
              </w:rPr>
            </w:pPr>
            <w:r w:rsidRPr="00176574">
              <w:rPr>
                <w:sz w:val="18"/>
                <w:szCs w:val="18"/>
              </w:rPr>
              <w:t>1.281,39</w:t>
            </w:r>
          </w:p>
        </w:tc>
      </w:tr>
      <w:tr w:rsidR="00176574" w:rsidRPr="00513B34" w14:paraId="708500F8" w14:textId="77777777" w:rsidTr="00176574">
        <w:trPr>
          <w:trHeight w:val="345"/>
        </w:trPr>
        <w:tc>
          <w:tcPr>
            <w:tcW w:w="2647" w:type="pct"/>
            <w:shd w:val="clear" w:color="auto" w:fill="auto"/>
            <w:noWrap/>
            <w:vAlign w:val="center"/>
            <w:hideMark/>
          </w:tcPr>
          <w:p w14:paraId="71C9A6D0" w14:textId="1211C74D" w:rsidR="00176574" w:rsidRPr="00176574" w:rsidRDefault="00176574" w:rsidP="00176574">
            <w:pPr>
              <w:jc w:val="left"/>
              <w:rPr>
                <w:sz w:val="18"/>
                <w:szCs w:val="18"/>
                <w:lang w:eastAsia="hr-HR"/>
              </w:rPr>
            </w:pPr>
            <w:r w:rsidRPr="00176574">
              <w:rPr>
                <w:sz w:val="18"/>
                <w:szCs w:val="18"/>
              </w:rPr>
              <w:t xml:space="preserve"> Skladištar </w:t>
            </w:r>
          </w:p>
        </w:tc>
        <w:tc>
          <w:tcPr>
            <w:tcW w:w="881" w:type="pct"/>
            <w:shd w:val="clear" w:color="auto" w:fill="auto"/>
            <w:noWrap/>
            <w:vAlign w:val="center"/>
            <w:hideMark/>
          </w:tcPr>
          <w:p w14:paraId="60116023" w14:textId="57F3D1C1" w:rsidR="00176574" w:rsidRPr="00176574" w:rsidRDefault="00176574" w:rsidP="00176574">
            <w:pPr>
              <w:jc w:val="center"/>
              <w:rPr>
                <w:sz w:val="18"/>
                <w:szCs w:val="18"/>
                <w:lang w:eastAsia="hr-HR"/>
              </w:rPr>
            </w:pPr>
            <w:r w:rsidRPr="00176574">
              <w:rPr>
                <w:sz w:val="18"/>
                <w:szCs w:val="18"/>
              </w:rPr>
              <w:t>KV/SSS/VKV</w:t>
            </w:r>
          </w:p>
        </w:tc>
        <w:tc>
          <w:tcPr>
            <w:tcW w:w="737" w:type="pct"/>
            <w:shd w:val="clear" w:color="auto" w:fill="auto"/>
            <w:noWrap/>
            <w:vAlign w:val="center"/>
            <w:hideMark/>
          </w:tcPr>
          <w:p w14:paraId="15A2122F" w14:textId="2D4C35D0" w:rsidR="00176574" w:rsidRPr="00176574" w:rsidRDefault="00176574" w:rsidP="00176574">
            <w:pPr>
              <w:jc w:val="right"/>
              <w:rPr>
                <w:sz w:val="18"/>
                <w:szCs w:val="18"/>
                <w:lang w:eastAsia="hr-HR"/>
              </w:rPr>
            </w:pPr>
            <w:r w:rsidRPr="00176574">
              <w:rPr>
                <w:sz w:val="18"/>
                <w:szCs w:val="18"/>
              </w:rPr>
              <w:t>1.080,39</w:t>
            </w:r>
          </w:p>
        </w:tc>
        <w:tc>
          <w:tcPr>
            <w:tcW w:w="735" w:type="pct"/>
            <w:shd w:val="clear" w:color="auto" w:fill="auto"/>
            <w:noWrap/>
            <w:vAlign w:val="center"/>
            <w:hideMark/>
          </w:tcPr>
          <w:p w14:paraId="05A04508" w14:textId="5DC3DDA5" w:rsidR="00176574" w:rsidRPr="00176574" w:rsidRDefault="00176574" w:rsidP="00176574">
            <w:pPr>
              <w:jc w:val="right"/>
              <w:rPr>
                <w:sz w:val="18"/>
                <w:szCs w:val="18"/>
                <w:lang w:eastAsia="hr-HR"/>
              </w:rPr>
            </w:pPr>
            <w:r w:rsidRPr="00176574">
              <w:rPr>
                <w:sz w:val="18"/>
                <w:szCs w:val="18"/>
              </w:rPr>
              <w:t>1.255,87</w:t>
            </w:r>
          </w:p>
        </w:tc>
      </w:tr>
      <w:tr w:rsidR="00176574" w:rsidRPr="00513B34" w14:paraId="6E7CC6E6" w14:textId="77777777" w:rsidTr="00176574">
        <w:trPr>
          <w:trHeight w:val="345"/>
        </w:trPr>
        <w:tc>
          <w:tcPr>
            <w:tcW w:w="2647" w:type="pct"/>
            <w:shd w:val="clear" w:color="auto" w:fill="auto"/>
            <w:noWrap/>
            <w:vAlign w:val="center"/>
            <w:hideMark/>
          </w:tcPr>
          <w:p w14:paraId="39832BB8" w14:textId="2B604A9E" w:rsidR="00176574" w:rsidRPr="00176574" w:rsidRDefault="00176574" w:rsidP="00176574">
            <w:pPr>
              <w:jc w:val="left"/>
              <w:rPr>
                <w:sz w:val="18"/>
                <w:szCs w:val="18"/>
                <w:lang w:eastAsia="hr-HR"/>
              </w:rPr>
            </w:pPr>
            <w:r w:rsidRPr="00176574">
              <w:rPr>
                <w:sz w:val="18"/>
                <w:szCs w:val="18"/>
              </w:rPr>
              <w:t xml:space="preserve"> Vozač specijalnog vozila </w:t>
            </w:r>
          </w:p>
        </w:tc>
        <w:tc>
          <w:tcPr>
            <w:tcW w:w="881" w:type="pct"/>
            <w:shd w:val="clear" w:color="auto" w:fill="auto"/>
            <w:noWrap/>
            <w:vAlign w:val="center"/>
            <w:hideMark/>
          </w:tcPr>
          <w:p w14:paraId="783114F9" w14:textId="3CC9B00B" w:rsidR="00176574" w:rsidRPr="00176574" w:rsidRDefault="00176574" w:rsidP="00176574">
            <w:pPr>
              <w:jc w:val="center"/>
              <w:rPr>
                <w:sz w:val="18"/>
                <w:szCs w:val="18"/>
                <w:lang w:eastAsia="hr-HR"/>
              </w:rPr>
            </w:pPr>
            <w:r w:rsidRPr="00176574">
              <w:rPr>
                <w:sz w:val="18"/>
                <w:szCs w:val="18"/>
              </w:rPr>
              <w:t>SSS</w:t>
            </w:r>
          </w:p>
        </w:tc>
        <w:tc>
          <w:tcPr>
            <w:tcW w:w="737" w:type="pct"/>
            <w:shd w:val="clear" w:color="auto" w:fill="auto"/>
            <w:noWrap/>
            <w:vAlign w:val="center"/>
            <w:hideMark/>
          </w:tcPr>
          <w:p w14:paraId="0DFE7A37" w14:textId="0551908B" w:rsidR="00176574" w:rsidRPr="00176574" w:rsidRDefault="00176574" w:rsidP="00176574">
            <w:pPr>
              <w:jc w:val="right"/>
              <w:rPr>
                <w:sz w:val="18"/>
                <w:szCs w:val="18"/>
                <w:lang w:eastAsia="hr-HR"/>
              </w:rPr>
            </w:pPr>
            <w:r w:rsidRPr="00176574">
              <w:rPr>
                <w:sz w:val="18"/>
                <w:szCs w:val="18"/>
              </w:rPr>
              <w:t>1.135,88</w:t>
            </w:r>
          </w:p>
        </w:tc>
        <w:tc>
          <w:tcPr>
            <w:tcW w:w="735" w:type="pct"/>
            <w:shd w:val="clear" w:color="auto" w:fill="auto"/>
            <w:noWrap/>
            <w:vAlign w:val="center"/>
            <w:hideMark/>
          </w:tcPr>
          <w:p w14:paraId="76A336DE" w14:textId="42F851D2" w:rsidR="00176574" w:rsidRPr="00176574" w:rsidRDefault="00176574" w:rsidP="00176574">
            <w:pPr>
              <w:jc w:val="right"/>
              <w:rPr>
                <w:sz w:val="18"/>
                <w:szCs w:val="18"/>
                <w:lang w:eastAsia="hr-HR"/>
              </w:rPr>
            </w:pPr>
            <w:r w:rsidRPr="00176574">
              <w:rPr>
                <w:sz w:val="18"/>
                <w:szCs w:val="18"/>
              </w:rPr>
              <w:t>1.237,06</w:t>
            </w:r>
          </w:p>
        </w:tc>
      </w:tr>
      <w:tr w:rsidR="00176574" w:rsidRPr="00513B34" w14:paraId="7B4C93A9" w14:textId="77777777" w:rsidTr="00176574">
        <w:trPr>
          <w:trHeight w:val="345"/>
        </w:trPr>
        <w:tc>
          <w:tcPr>
            <w:tcW w:w="2647" w:type="pct"/>
            <w:shd w:val="clear" w:color="auto" w:fill="auto"/>
            <w:noWrap/>
            <w:vAlign w:val="center"/>
            <w:hideMark/>
          </w:tcPr>
          <w:p w14:paraId="43E76741" w14:textId="671EDB05" w:rsidR="00176574" w:rsidRPr="00176574" w:rsidRDefault="00176574" w:rsidP="00176574">
            <w:pPr>
              <w:jc w:val="left"/>
              <w:rPr>
                <w:sz w:val="18"/>
                <w:szCs w:val="18"/>
                <w:lang w:eastAsia="hr-HR"/>
              </w:rPr>
            </w:pPr>
            <w:r w:rsidRPr="00176574">
              <w:rPr>
                <w:sz w:val="18"/>
                <w:szCs w:val="18"/>
              </w:rPr>
              <w:t xml:space="preserve"> Referent za odnose sa potrošačima I </w:t>
            </w:r>
          </w:p>
        </w:tc>
        <w:tc>
          <w:tcPr>
            <w:tcW w:w="881" w:type="pct"/>
            <w:shd w:val="clear" w:color="auto" w:fill="auto"/>
            <w:noWrap/>
            <w:vAlign w:val="center"/>
            <w:hideMark/>
          </w:tcPr>
          <w:p w14:paraId="1F7112A4" w14:textId="198CF17F" w:rsidR="00176574" w:rsidRPr="00176574" w:rsidRDefault="00176574" w:rsidP="00176574">
            <w:pPr>
              <w:jc w:val="center"/>
              <w:rPr>
                <w:sz w:val="18"/>
                <w:szCs w:val="18"/>
                <w:lang w:eastAsia="hr-HR"/>
              </w:rPr>
            </w:pPr>
            <w:r w:rsidRPr="00176574">
              <w:rPr>
                <w:sz w:val="18"/>
                <w:szCs w:val="18"/>
              </w:rPr>
              <w:t>SSS</w:t>
            </w:r>
          </w:p>
        </w:tc>
        <w:tc>
          <w:tcPr>
            <w:tcW w:w="737" w:type="pct"/>
            <w:shd w:val="clear" w:color="auto" w:fill="auto"/>
            <w:noWrap/>
            <w:vAlign w:val="center"/>
            <w:hideMark/>
          </w:tcPr>
          <w:p w14:paraId="4FE4D1E1" w14:textId="1A25A823" w:rsidR="00176574" w:rsidRPr="00176574" w:rsidRDefault="00176574" w:rsidP="00176574">
            <w:pPr>
              <w:jc w:val="right"/>
              <w:rPr>
                <w:sz w:val="18"/>
                <w:szCs w:val="18"/>
                <w:lang w:eastAsia="hr-HR"/>
              </w:rPr>
            </w:pPr>
            <w:r w:rsidRPr="00176574">
              <w:rPr>
                <w:sz w:val="18"/>
                <w:szCs w:val="18"/>
              </w:rPr>
              <w:t>1.029,99</w:t>
            </w:r>
          </w:p>
        </w:tc>
        <w:tc>
          <w:tcPr>
            <w:tcW w:w="735" w:type="pct"/>
            <w:shd w:val="clear" w:color="auto" w:fill="auto"/>
            <w:noWrap/>
            <w:vAlign w:val="center"/>
            <w:hideMark/>
          </w:tcPr>
          <w:p w14:paraId="18547657" w14:textId="4A70D531" w:rsidR="00176574" w:rsidRPr="00176574" w:rsidRDefault="00176574" w:rsidP="00176574">
            <w:pPr>
              <w:jc w:val="right"/>
              <w:rPr>
                <w:sz w:val="18"/>
                <w:szCs w:val="18"/>
                <w:lang w:eastAsia="hr-HR"/>
              </w:rPr>
            </w:pPr>
            <w:r w:rsidRPr="00176574">
              <w:rPr>
                <w:sz w:val="18"/>
                <w:szCs w:val="18"/>
              </w:rPr>
              <w:t>1.231,41</w:t>
            </w:r>
          </w:p>
        </w:tc>
      </w:tr>
      <w:tr w:rsidR="00176574" w:rsidRPr="00513B34" w14:paraId="063163EA" w14:textId="77777777" w:rsidTr="00176574">
        <w:trPr>
          <w:trHeight w:val="345"/>
        </w:trPr>
        <w:tc>
          <w:tcPr>
            <w:tcW w:w="2647" w:type="pct"/>
            <w:shd w:val="clear" w:color="auto" w:fill="auto"/>
            <w:noWrap/>
            <w:vAlign w:val="center"/>
            <w:hideMark/>
          </w:tcPr>
          <w:p w14:paraId="43C9B31B" w14:textId="1CB32294" w:rsidR="00176574" w:rsidRPr="00176574" w:rsidRDefault="00176574" w:rsidP="00176574">
            <w:pPr>
              <w:jc w:val="left"/>
              <w:rPr>
                <w:sz w:val="18"/>
                <w:szCs w:val="18"/>
                <w:lang w:eastAsia="hr-HR"/>
              </w:rPr>
            </w:pPr>
            <w:r w:rsidRPr="00176574">
              <w:rPr>
                <w:sz w:val="18"/>
                <w:szCs w:val="18"/>
              </w:rPr>
              <w:t xml:space="preserve"> Vozač teretnog vozila </w:t>
            </w:r>
          </w:p>
        </w:tc>
        <w:tc>
          <w:tcPr>
            <w:tcW w:w="881" w:type="pct"/>
            <w:shd w:val="clear" w:color="auto" w:fill="auto"/>
            <w:noWrap/>
            <w:vAlign w:val="center"/>
            <w:hideMark/>
          </w:tcPr>
          <w:p w14:paraId="2BE8DE43" w14:textId="4D8DECAD" w:rsidR="00176574" w:rsidRPr="00176574" w:rsidRDefault="00176574" w:rsidP="00176574">
            <w:pPr>
              <w:jc w:val="center"/>
              <w:rPr>
                <w:sz w:val="18"/>
                <w:szCs w:val="18"/>
                <w:lang w:eastAsia="hr-HR"/>
              </w:rPr>
            </w:pPr>
            <w:r w:rsidRPr="00176574">
              <w:rPr>
                <w:sz w:val="18"/>
                <w:szCs w:val="18"/>
              </w:rPr>
              <w:t>SSS</w:t>
            </w:r>
          </w:p>
        </w:tc>
        <w:tc>
          <w:tcPr>
            <w:tcW w:w="737" w:type="pct"/>
            <w:shd w:val="clear" w:color="auto" w:fill="auto"/>
            <w:noWrap/>
            <w:vAlign w:val="center"/>
            <w:hideMark/>
          </w:tcPr>
          <w:p w14:paraId="1FA386CF" w14:textId="7734C3A9" w:rsidR="00176574" w:rsidRPr="00176574" w:rsidRDefault="00176574" w:rsidP="00176574">
            <w:pPr>
              <w:jc w:val="right"/>
              <w:rPr>
                <w:sz w:val="18"/>
                <w:szCs w:val="18"/>
                <w:lang w:eastAsia="hr-HR"/>
              </w:rPr>
            </w:pPr>
            <w:r w:rsidRPr="00176574">
              <w:rPr>
                <w:sz w:val="18"/>
                <w:szCs w:val="18"/>
              </w:rPr>
              <w:t>1.068,26</w:t>
            </w:r>
          </w:p>
        </w:tc>
        <w:tc>
          <w:tcPr>
            <w:tcW w:w="735" w:type="pct"/>
            <w:shd w:val="clear" w:color="auto" w:fill="auto"/>
            <w:noWrap/>
            <w:vAlign w:val="center"/>
            <w:hideMark/>
          </w:tcPr>
          <w:p w14:paraId="5F777E33" w14:textId="31980366" w:rsidR="00176574" w:rsidRPr="00176574" w:rsidRDefault="00176574" w:rsidP="00176574">
            <w:pPr>
              <w:jc w:val="right"/>
              <w:rPr>
                <w:sz w:val="18"/>
                <w:szCs w:val="18"/>
                <w:lang w:eastAsia="hr-HR"/>
              </w:rPr>
            </w:pPr>
            <w:r w:rsidRPr="00176574">
              <w:rPr>
                <w:sz w:val="18"/>
                <w:szCs w:val="18"/>
              </w:rPr>
              <w:t>1.212,48</w:t>
            </w:r>
          </w:p>
        </w:tc>
      </w:tr>
      <w:tr w:rsidR="00176574" w:rsidRPr="00513B34" w14:paraId="2D3D4FA4" w14:textId="77777777" w:rsidTr="00176574">
        <w:trPr>
          <w:trHeight w:val="345"/>
        </w:trPr>
        <w:tc>
          <w:tcPr>
            <w:tcW w:w="2647" w:type="pct"/>
            <w:shd w:val="clear" w:color="auto" w:fill="auto"/>
            <w:noWrap/>
            <w:vAlign w:val="center"/>
            <w:hideMark/>
          </w:tcPr>
          <w:p w14:paraId="2FD2C560" w14:textId="0860FF3D" w:rsidR="00176574" w:rsidRPr="00176574" w:rsidRDefault="00176574" w:rsidP="00176574">
            <w:pPr>
              <w:jc w:val="left"/>
              <w:rPr>
                <w:sz w:val="18"/>
                <w:szCs w:val="18"/>
                <w:lang w:eastAsia="hr-HR"/>
              </w:rPr>
            </w:pPr>
            <w:r w:rsidRPr="00176574">
              <w:rPr>
                <w:sz w:val="18"/>
                <w:szCs w:val="18"/>
              </w:rPr>
              <w:t xml:space="preserve"> Salda konto dužnika </w:t>
            </w:r>
          </w:p>
        </w:tc>
        <w:tc>
          <w:tcPr>
            <w:tcW w:w="881" w:type="pct"/>
            <w:shd w:val="clear" w:color="auto" w:fill="auto"/>
            <w:noWrap/>
            <w:vAlign w:val="center"/>
            <w:hideMark/>
          </w:tcPr>
          <w:p w14:paraId="43EAC4A6" w14:textId="220D6984" w:rsidR="00176574" w:rsidRPr="00176574" w:rsidRDefault="00176574" w:rsidP="00176574">
            <w:pPr>
              <w:jc w:val="center"/>
              <w:rPr>
                <w:sz w:val="18"/>
                <w:szCs w:val="18"/>
                <w:lang w:eastAsia="hr-HR"/>
              </w:rPr>
            </w:pPr>
            <w:r w:rsidRPr="00176574">
              <w:rPr>
                <w:sz w:val="18"/>
                <w:szCs w:val="18"/>
              </w:rPr>
              <w:t>SSS</w:t>
            </w:r>
          </w:p>
        </w:tc>
        <w:tc>
          <w:tcPr>
            <w:tcW w:w="737" w:type="pct"/>
            <w:shd w:val="clear" w:color="auto" w:fill="auto"/>
            <w:noWrap/>
            <w:vAlign w:val="center"/>
            <w:hideMark/>
          </w:tcPr>
          <w:p w14:paraId="2086E6CE" w14:textId="4731D457" w:rsidR="00176574" w:rsidRPr="00176574" w:rsidRDefault="00176574" w:rsidP="00176574">
            <w:pPr>
              <w:jc w:val="right"/>
              <w:rPr>
                <w:sz w:val="18"/>
                <w:szCs w:val="18"/>
                <w:lang w:eastAsia="hr-HR"/>
              </w:rPr>
            </w:pPr>
            <w:r w:rsidRPr="00176574">
              <w:rPr>
                <w:sz w:val="18"/>
                <w:szCs w:val="18"/>
              </w:rPr>
              <w:t>996,21</w:t>
            </w:r>
          </w:p>
        </w:tc>
        <w:tc>
          <w:tcPr>
            <w:tcW w:w="735" w:type="pct"/>
            <w:shd w:val="clear" w:color="auto" w:fill="auto"/>
            <w:noWrap/>
            <w:vAlign w:val="center"/>
            <w:hideMark/>
          </w:tcPr>
          <w:p w14:paraId="72511FC9" w14:textId="292AF772" w:rsidR="00176574" w:rsidRPr="00176574" w:rsidRDefault="00176574" w:rsidP="00176574">
            <w:pPr>
              <w:jc w:val="right"/>
              <w:rPr>
                <w:sz w:val="18"/>
                <w:szCs w:val="18"/>
                <w:lang w:eastAsia="hr-HR"/>
              </w:rPr>
            </w:pPr>
            <w:r w:rsidRPr="00176574">
              <w:rPr>
                <w:sz w:val="18"/>
                <w:szCs w:val="18"/>
              </w:rPr>
              <w:t>1.171,06</w:t>
            </w:r>
          </w:p>
        </w:tc>
      </w:tr>
      <w:tr w:rsidR="00176574" w:rsidRPr="00513B34" w14:paraId="729FC658" w14:textId="77777777" w:rsidTr="00176574">
        <w:trPr>
          <w:trHeight w:val="345"/>
        </w:trPr>
        <w:tc>
          <w:tcPr>
            <w:tcW w:w="2647" w:type="pct"/>
            <w:shd w:val="clear" w:color="auto" w:fill="auto"/>
            <w:noWrap/>
            <w:vAlign w:val="center"/>
            <w:hideMark/>
          </w:tcPr>
          <w:p w14:paraId="24251687" w14:textId="39B85A99" w:rsidR="00176574" w:rsidRPr="00176574" w:rsidRDefault="00176574" w:rsidP="00176574">
            <w:pPr>
              <w:jc w:val="left"/>
              <w:rPr>
                <w:sz w:val="18"/>
                <w:szCs w:val="18"/>
                <w:lang w:eastAsia="hr-HR"/>
              </w:rPr>
            </w:pPr>
            <w:r w:rsidRPr="00176574">
              <w:rPr>
                <w:sz w:val="18"/>
                <w:szCs w:val="18"/>
              </w:rPr>
              <w:t xml:space="preserve"> Monter II </w:t>
            </w:r>
          </w:p>
        </w:tc>
        <w:tc>
          <w:tcPr>
            <w:tcW w:w="881" w:type="pct"/>
            <w:shd w:val="clear" w:color="auto" w:fill="auto"/>
            <w:noWrap/>
            <w:vAlign w:val="center"/>
            <w:hideMark/>
          </w:tcPr>
          <w:p w14:paraId="3DDE0B9D" w14:textId="57448803" w:rsidR="00176574" w:rsidRPr="00176574" w:rsidRDefault="00176574" w:rsidP="00176574">
            <w:pPr>
              <w:jc w:val="center"/>
              <w:rPr>
                <w:sz w:val="18"/>
                <w:szCs w:val="18"/>
                <w:lang w:eastAsia="hr-HR"/>
              </w:rPr>
            </w:pPr>
            <w:r w:rsidRPr="00176574">
              <w:rPr>
                <w:sz w:val="18"/>
                <w:szCs w:val="18"/>
              </w:rPr>
              <w:t>KV/SSS</w:t>
            </w:r>
          </w:p>
        </w:tc>
        <w:tc>
          <w:tcPr>
            <w:tcW w:w="737" w:type="pct"/>
            <w:shd w:val="clear" w:color="auto" w:fill="auto"/>
            <w:noWrap/>
            <w:vAlign w:val="center"/>
            <w:hideMark/>
          </w:tcPr>
          <w:p w14:paraId="0A706652" w14:textId="7DB1DE0F" w:rsidR="00176574" w:rsidRPr="00176574" w:rsidRDefault="00176574" w:rsidP="00176574">
            <w:pPr>
              <w:jc w:val="right"/>
              <w:rPr>
                <w:sz w:val="18"/>
                <w:szCs w:val="18"/>
                <w:lang w:eastAsia="hr-HR"/>
              </w:rPr>
            </w:pPr>
            <w:r w:rsidRPr="00176574">
              <w:rPr>
                <w:sz w:val="18"/>
                <w:szCs w:val="18"/>
              </w:rPr>
              <w:t>999,99</w:t>
            </w:r>
          </w:p>
        </w:tc>
        <w:tc>
          <w:tcPr>
            <w:tcW w:w="735" w:type="pct"/>
            <w:shd w:val="clear" w:color="auto" w:fill="auto"/>
            <w:noWrap/>
            <w:vAlign w:val="center"/>
            <w:hideMark/>
          </w:tcPr>
          <w:p w14:paraId="15121AEE" w14:textId="5829774F" w:rsidR="00176574" w:rsidRPr="00176574" w:rsidRDefault="00176574" w:rsidP="00176574">
            <w:pPr>
              <w:jc w:val="right"/>
              <w:rPr>
                <w:sz w:val="18"/>
                <w:szCs w:val="18"/>
                <w:lang w:eastAsia="hr-HR"/>
              </w:rPr>
            </w:pPr>
            <w:r w:rsidRPr="00176574">
              <w:rPr>
                <w:sz w:val="18"/>
                <w:szCs w:val="18"/>
              </w:rPr>
              <w:t>1.136,11</w:t>
            </w:r>
          </w:p>
        </w:tc>
      </w:tr>
      <w:tr w:rsidR="00176574" w:rsidRPr="00513B34" w14:paraId="5EE16377" w14:textId="77777777" w:rsidTr="00176574">
        <w:trPr>
          <w:trHeight w:val="345"/>
        </w:trPr>
        <w:tc>
          <w:tcPr>
            <w:tcW w:w="2647" w:type="pct"/>
            <w:shd w:val="clear" w:color="auto" w:fill="auto"/>
            <w:noWrap/>
            <w:vAlign w:val="center"/>
            <w:hideMark/>
          </w:tcPr>
          <w:p w14:paraId="76890C69" w14:textId="3C637624" w:rsidR="00176574" w:rsidRPr="00176574" w:rsidRDefault="00176574" w:rsidP="00176574">
            <w:pPr>
              <w:jc w:val="left"/>
              <w:rPr>
                <w:sz w:val="18"/>
                <w:szCs w:val="18"/>
                <w:lang w:eastAsia="hr-HR"/>
              </w:rPr>
            </w:pPr>
            <w:r w:rsidRPr="00176574">
              <w:rPr>
                <w:sz w:val="18"/>
                <w:szCs w:val="18"/>
              </w:rPr>
              <w:t xml:space="preserve"> Kopač </w:t>
            </w:r>
          </w:p>
        </w:tc>
        <w:tc>
          <w:tcPr>
            <w:tcW w:w="881" w:type="pct"/>
            <w:shd w:val="clear" w:color="auto" w:fill="auto"/>
            <w:noWrap/>
            <w:vAlign w:val="center"/>
            <w:hideMark/>
          </w:tcPr>
          <w:p w14:paraId="02AE0E76" w14:textId="0706A2E2" w:rsidR="00176574" w:rsidRPr="00176574" w:rsidRDefault="00176574" w:rsidP="00176574">
            <w:pPr>
              <w:jc w:val="center"/>
              <w:rPr>
                <w:sz w:val="18"/>
                <w:szCs w:val="18"/>
                <w:lang w:eastAsia="hr-HR"/>
              </w:rPr>
            </w:pPr>
            <w:r w:rsidRPr="00176574">
              <w:rPr>
                <w:sz w:val="18"/>
                <w:szCs w:val="18"/>
              </w:rPr>
              <w:t>NKV</w:t>
            </w:r>
          </w:p>
        </w:tc>
        <w:tc>
          <w:tcPr>
            <w:tcW w:w="737" w:type="pct"/>
            <w:shd w:val="clear" w:color="auto" w:fill="auto"/>
            <w:noWrap/>
            <w:vAlign w:val="center"/>
            <w:hideMark/>
          </w:tcPr>
          <w:p w14:paraId="6A6D7126" w14:textId="2F28DE7F" w:rsidR="00176574" w:rsidRPr="00176574" w:rsidRDefault="00176574" w:rsidP="00176574">
            <w:pPr>
              <w:jc w:val="right"/>
              <w:rPr>
                <w:sz w:val="18"/>
                <w:szCs w:val="18"/>
                <w:lang w:eastAsia="hr-HR"/>
              </w:rPr>
            </w:pPr>
            <w:r w:rsidRPr="00176574">
              <w:rPr>
                <w:sz w:val="18"/>
                <w:szCs w:val="18"/>
              </w:rPr>
              <w:t>930,13</w:t>
            </w:r>
          </w:p>
        </w:tc>
        <w:tc>
          <w:tcPr>
            <w:tcW w:w="735" w:type="pct"/>
            <w:shd w:val="clear" w:color="auto" w:fill="auto"/>
            <w:noWrap/>
            <w:vAlign w:val="center"/>
            <w:hideMark/>
          </w:tcPr>
          <w:p w14:paraId="039AA610" w14:textId="03075794" w:rsidR="00176574" w:rsidRPr="00176574" w:rsidRDefault="00176574" w:rsidP="00176574">
            <w:pPr>
              <w:jc w:val="right"/>
              <w:rPr>
                <w:sz w:val="18"/>
                <w:szCs w:val="18"/>
                <w:lang w:eastAsia="hr-HR"/>
              </w:rPr>
            </w:pPr>
            <w:r w:rsidRPr="00176574">
              <w:rPr>
                <w:sz w:val="18"/>
                <w:szCs w:val="18"/>
              </w:rPr>
              <w:t>1.083,69</w:t>
            </w:r>
          </w:p>
        </w:tc>
      </w:tr>
      <w:tr w:rsidR="00176574" w:rsidRPr="00513B34" w14:paraId="4DCF9849" w14:textId="77777777" w:rsidTr="00176574">
        <w:trPr>
          <w:trHeight w:val="345"/>
        </w:trPr>
        <w:tc>
          <w:tcPr>
            <w:tcW w:w="2647" w:type="pct"/>
            <w:shd w:val="clear" w:color="auto" w:fill="auto"/>
            <w:noWrap/>
            <w:vAlign w:val="center"/>
            <w:hideMark/>
          </w:tcPr>
          <w:p w14:paraId="07B1BA27" w14:textId="58E9CAEA" w:rsidR="00176574" w:rsidRPr="00176574" w:rsidRDefault="00176574" w:rsidP="00176574">
            <w:pPr>
              <w:jc w:val="left"/>
              <w:rPr>
                <w:sz w:val="18"/>
                <w:szCs w:val="18"/>
                <w:lang w:eastAsia="hr-HR"/>
              </w:rPr>
            </w:pPr>
            <w:r w:rsidRPr="00176574">
              <w:rPr>
                <w:sz w:val="18"/>
                <w:szCs w:val="18"/>
              </w:rPr>
              <w:t xml:space="preserve"> Kontrolor vodomjera i reklamacija I </w:t>
            </w:r>
          </w:p>
        </w:tc>
        <w:tc>
          <w:tcPr>
            <w:tcW w:w="881" w:type="pct"/>
            <w:shd w:val="clear" w:color="auto" w:fill="auto"/>
            <w:noWrap/>
            <w:vAlign w:val="center"/>
            <w:hideMark/>
          </w:tcPr>
          <w:p w14:paraId="483F2F8D" w14:textId="371CFCDA" w:rsidR="00176574" w:rsidRPr="00176574" w:rsidRDefault="00176574" w:rsidP="00176574">
            <w:pPr>
              <w:jc w:val="center"/>
              <w:rPr>
                <w:sz w:val="18"/>
                <w:szCs w:val="18"/>
                <w:lang w:eastAsia="hr-HR"/>
              </w:rPr>
            </w:pPr>
            <w:r w:rsidRPr="00176574">
              <w:rPr>
                <w:sz w:val="18"/>
                <w:szCs w:val="18"/>
              </w:rPr>
              <w:t>SSS</w:t>
            </w:r>
          </w:p>
        </w:tc>
        <w:tc>
          <w:tcPr>
            <w:tcW w:w="737" w:type="pct"/>
            <w:shd w:val="clear" w:color="auto" w:fill="auto"/>
            <w:noWrap/>
            <w:vAlign w:val="center"/>
            <w:hideMark/>
          </w:tcPr>
          <w:p w14:paraId="3B1015B4" w14:textId="69BC339D" w:rsidR="00176574" w:rsidRPr="00176574" w:rsidRDefault="00176574" w:rsidP="00176574">
            <w:pPr>
              <w:jc w:val="right"/>
              <w:rPr>
                <w:sz w:val="18"/>
                <w:szCs w:val="18"/>
                <w:lang w:eastAsia="hr-HR"/>
              </w:rPr>
            </w:pPr>
            <w:r w:rsidRPr="00176574">
              <w:rPr>
                <w:sz w:val="18"/>
                <w:szCs w:val="18"/>
              </w:rPr>
              <w:t>992,47</w:t>
            </w:r>
          </w:p>
        </w:tc>
        <w:tc>
          <w:tcPr>
            <w:tcW w:w="735" w:type="pct"/>
            <w:shd w:val="clear" w:color="auto" w:fill="auto"/>
            <w:noWrap/>
            <w:vAlign w:val="center"/>
            <w:hideMark/>
          </w:tcPr>
          <w:p w14:paraId="731D804A" w14:textId="66AD8D62" w:rsidR="00176574" w:rsidRPr="00176574" w:rsidRDefault="00176574" w:rsidP="00176574">
            <w:pPr>
              <w:jc w:val="right"/>
              <w:rPr>
                <w:sz w:val="18"/>
                <w:szCs w:val="18"/>
                <w:lang w:eastAsia="hr-HR"/>
              </w:rPr>
            </w:pPr>
            <w:r w:rsidRPr="00176574">
              <w:rPr>
                <w:sz w:val="18"/>
                <w:szCs w:val="18"/>
              </w:rPr>
              <w:t>1.080,15</w:t>
            </w:r>
          </w:p>
        </w:tc>
      </w:tr>
      <w:tr w:rsidR="00176574" w:rsidRPr="00513B34" w14:paraId="2D78023F" w14:textId="77777777" w:rsidTr="00176574">
        <w:trPr>
          <w:trHeight w:val="345"/>
        </w:trPr>
        <w:tc>
          <w:tcPr>
            <w:tcW w:w="2647" w:type="pct"/>
            <w:shd w:val="clear" w:color="auto" w:fill="auto"/>
            <w:noWrap/>
            <w:vAlign w:val="center"/>
            <w:hideMark/>
          </w:tcPr>
          <w:p w14:paraId="3011F6AC" w14:textId="7E6F2819" w:rsidR="00176574" w:rsidRPr="00176574" w:rsidRDefault="00176574" w:rsidP="00176574">
            <w:pPr>
              <w:jc w:val="left"/>
              <w:rPr>
                <w:sz w:val="18"/>
                <w:szCs w:val="18"/>
                <w:lang w:eastAsia="hr-HR"/>
              </w:rPr>
            </w:pPr>
            <w:r w:rsidRPr="00176574">
              <w:rPr>
                <w:sz w:val="18"/>
                <w:szCs w:val="18"/>
              </w:rPr>
              <w:t xml:space="preserve"> Pomoćni radnik u laboratoriju </w:t>
            </w:r>
          </w:p>
        </w:tc>
        <w:tc>
          <w:tcPr>
            <w:tcW w:w="881" w:type="pct"/>
            <w:shd w:val="clear" w:color="auto" w:fill="auto"/>
            <w:noWrap/>
            <w:vAlign w:val="center"/>
            <w:hideMark/>
          </w:tcPr>
          <w:p w14:paraId="3C30E945" w14:textId="17926D15" w:rsidR="00176574" w:rsidRPr="00176574" w:rsidRDefault="00176574" w:rsidP="00176574">
            <w:pPr>
              <w:jc w:val="center"/>
              <w:rPr>
                <w:sz w:val="18"/>
                <w:szCs w:val="18"/>
                <w:lang w:eastAsia="hr-HR"/>
              </w:rPr>
            </w:pPr>
            <w:r w:rsidRPr="00176574">
              <w:rPr>
                <w:sz w:val="18"/>
                <w:szCs w:val="18"/>
              </w:rPr>
              <w:t>SSS</w:t>
            </w:r>
          </w:p>
        </w:tc>
        <w:tc>
          <w:tcPr>
            <w:tcW w:w="737" w:type="pct"/>
            <w:shd w:val="clear" w:color="auto" w:fill="auto"/>
            <w:noWrap/>
            <w:vAlign w:val="center"/>
            <w:hideMark/>
          </w:tcPr>
          <w:p w14:paraId="3B71CC2A" w14:textId="3CE60009" w:rsidR="00176574" w:rsidRPr="00176574" w:rsidRDefault="00176574" w:rsidP="00176574">
            <w:pPr>
              <w:jc w:val="right"/>
              <w:rPr>
                <w:sz w:val="18"/>
                <w:szCs w:val="18"/>
                <w:lang w:eastAsia="hr-HR"/>
              </w:rPr>
            </w:pPr>
            <w:r w:rsidRPr="00176574">
              <w:rPr>
                <w:sz w:val="18"/>
                <w:szCs w:val="18"/>
              </w:rPr>
              <w:t>940,18</w:t>
            </w:r>
          </w:p>
        </w:tc>
        <w:tc>
          <w:tcPr>
            <w:tcW w:w="735" w:type="pct"/>
            <w:shd w:val="clear" w:color="auto" w:fill="auto"/>
            <w:noWrap/>
            <w:vAlign w:val="center"/>
            <w:hideMark/>
          </w:tcPr>
          <w:p w14:paraId="17B247C5" w14:textId="2AAC1BF9" w:rsidR="00176574" w:rsidRPr="00176574" w:rsidRDefault="00176574" w:rsidP="00176574">
            <w:pPr>
              <w:jc w:val="right"/>
              <w:rPr>
                <w:sz w:val="18"/>
                <w:szCs w:val="18"/>
                <w:lang w:eastAsia="hr-HR"/>
              </w:rPr>
            </w:pPr>
            <w:r w:rsidRPr="00176574">
              <w:rPr>
                <w:sz w:val="18"/>
                <w:szCs w:val="18"/>
              </w:rPr>
              <w:t>1.053,05</w:t>
            </w:r>
          </w:p>
        </w:tc>
      </w:tr>
      <w:tr w:rsidR="00176574" w:rsidRPr="00513B34" w14:paraId="4799EB53" w14:textId="77777777" w:rsidTr="00176574">
        <w:trPr>
          <w:trHeight w:val="345"/>
        </w:trPr>
        <w:tc>
          <w:tcPr>
            <w:tcW w:w="2647" w:type="pct"/>
            <w:shd w:val="clear" w:color="auto" w:fill="auto"/>
            <w:noWrap/>
            <w:vAlign w:val="center"/>
            <w:hideMark/>
          </w:tcPr>
          <w:p w14:paraId="6FFAEEC5" w14:textId="22842278" w:rsidR="00176574" w:rsidRPr="00176574" w:rsidRDefault="00176574" w:rsidP="00176574">
            <w:pPr>
              <w:jc w:val="left"/>
              <w:rPr>
                <w:sz w:val="18"/>
                <w:szCs w:val="18"/>
                <w:lang w:eastAsia="hr-HR"/>
              </w:rPr>
            </w:pPr>
            <w:r w:rsidRPr="00176574">
              <w:rPr>
                <w:sz w:val="18"/>
                <w:szCs w:val="18"/>
              </w:rPr>
              <w:t xml:space="preserve"> Radnik u kanalizaciji </w:t>
            </w:r>
          </w:p>
        </w:tc>
        <w:tc>
          <w:tcPr>
            <w:tcW w:w="881" w:type="pct"/>
            <w:shd w:val="clear" w:color="auto" w:fill="auto"/>
            <w:noWrap/>
            <w:vAlign w:val="center"/>
            <w:hideMark/>
          </w:tcPr>
          <w:p w14:paraId="08A6EB23" w14:textId="0877E42C" w:rsidR="00176574" w:rsidRPr="00176574" w:rsidRDefault="00176574" w:rsidP="00176574">
            <w:pPr>
              <w:jc w:val="center"/>
              <w:rPr>
                <w:sz w:val="18"/>
                <w:szCs w:val="18"/>
                <w:lang w:eastAsia="hr-HR"/>
              </w:rPr>
            </w:pPr>
            <w:r w:rsidRPr="00176574">
              <w:rPr>
                <w:sz w:val="18"/>
                <w:szCs w:val="18"/>
              </w:rPr>
              <w:t>NKV</w:t>
            </w:r>
          </w:p>
        </w:tc>
        <w:tc>
          <w:tcPr>
            <w:tcW w:w="737" w:type="pct"/>
            <w:shd w:val="clear" w:color="auto" w:fill="auto"/>
            <w:noWrap/>
            <w:vAlign w:val="center"/>
            <w:hideMark/>
          </w:tcPr>
          <w:p w14:paraId="06976307" w14:textId="1290B0DD" w:rsidR="00176574" w:rsidRPr="00176574" w:rsidRDefault="00176574" w:rsidP="00176574">
            <w:pPr>
              <w:jc w:val="right"/>
              <w:rPr>
                <w:sz w:val="18"/>
                <w:szCs w:val="18"/>
                <w:lang w:eastAsia="hr-HR"/>
              </w:rPr>
            </w:pPr>
            <w:r w:rsidRPr="00176574">
              <w:rPr>
                <w:sz w:val="18"/>
                <w:szCs w:val="18"/>
              </w:rPr>
              <w:t>936,98</w:t>
            </w:r>
          </w:p>
        </w:tc>
        <w:tc>
          <w:tcPr>
            <w:tcW w:w="735" w:type="pct"/>
            <w:shd w:val="clear" w:color="auto" w:fill="auto"/>
            <w:noWrap/>
            <w:vAlign w:val="center"/>
            <w:hideMark/>
          </w:tcPr>
          <w:p w14:paraId="78BEB7B1" w14:textId="7DAFA3E3" w:rsidR="00176574" w:rsidRPr="00176574" w:rsidRDefault="00176574" w:rsidP="00176574">
            <w:pPr>
              <w:jc w:val="right"/>
              <w:rPr>
                <w:sz w:val="18"/>
                <w:szCs w:val="18"/>
                <w:lang w:eastAsia="hr-HR"/>
              </w:rPr>
            </w:pPr>
            <w:r w:rsidRPr="00176574">
              <w:rPr>
                <w:sz w:val="18"/>
                <w:szCs w:val="18"/>
              </w:rPr>
              <w:t>1.003,35</w:t>
            </w:r>
          </w:p>
        </w:tc>
      </w:tr>
      <w:tr w:rsidR="00176574" w:rsidRPr="00513B34" w14:paraId="33A8646D" w14:textId="77777777" w:rsidTr="00176574">
        <w:trPr>
          <w:trHeight w:val="345"/>
        </w:trPr>
        <w:tc>
          <w:tcPr>
            <w:tcW w:w="2647" w:type="pct"/>
            <w:shd w:val="clear" w:color="auto" w:fill="auto"/>
            <w:noWrap/>
            <w:vAlign w:val="center"/>
            <w:hideMark/>
          </w:tcPr>
          <w:p w14:paraId="76E5A9E3" w14:textId="6CF42229" w:rsidR="00176574" w:rsidRPr="00176574" w:rsidRDefault="00176574" w:rsidP="00176574">
            <w:pPr>
              <w:jc w:val="left"/>
              <w:rPr>
                <w:sz w:val="18"/>
                <w:szCs w:val="18"/>
                <w:lang w:eastAsia="hr-HR"/>
              </w:rPr>
            </w:pPr>
            <w:r w:rsidRPr="00176574">
              <w:rPr>
                <w:sz w:val="18"/>
                <w:szCs w:val="18"/>
              </w:rPr>
              <w:t xml:space="preserve"> Čitač vodomjera </w:t>
            </w:r>
          </w:p>
        </w:tc>
        <w:tc>
          <w:tcPr>
            <w:tcW w:w="881" w:type="pct"/>
            <w:shd w:val="clear" w:color="auto" w:fill="auto"/>
            <w:noWrap/>
            <w:vAlign w:val="center"/>
            <w:hideMark/>
          </w:tcPr>
          <w:p w14:paraId="63B36864" w14:textId="6AF345CD" w:rsidR="00176574" w:rsidRPr="00176574" w:rsidRDefault="00176574" w:rsidP="00176574">
            <w:pPr>
              <w:jc w:val="center"/>
              <w:rPr>
                <w:sz w:val="18"/>
                <w:szCs w:val="18"/>
                <w:lang w:eastAsia="hr-HR"/>
              </w:rPr>
            </w:pPr>
            <w:r w:rsidRPr="00176574">
              <w:rPr>
                <w:sz w:val="18"/>
                <w:szCs w:val="18"/>
              </w:rPr>
              <w:t>SSS</w:t>
            </w:r>
          </w:p>
        </w:tc>
        <w:tc>
          <w:tcPr>
            <w:tcW w:w="737" w:type="pct"/>
            <w:shd w:val="clear" w:color="auto" w:fill="auto"/>
            <w:noWrap/>
            <w:vAlign w:val="center"/>
            <w:hideMark/>
          </w:tcPr>
          <w:p w14:paraId="74B8B923" w14:textId="02C6E091" w:rsidR="00176574" w:rsidRPr="00176574" w:rsidRDefault="00176574" w:rsidP="00176574">
            <w:pPr>
              <w:jc w:val="right"/>
              <w:rPr>
                <w:sz w:val="18"/>
                <w:szCs w:val="18"/>
                <w:lang w:eastAsia="hr-HR"/>
              </w:rPr>
            </w:pPr>
            <w:r w:rsidRPr="00176574">
              <w:rPr>
                <w:sz w:val="18"/>
                <w:szCs w:val="18"/>
              </w:rPr>
              <w:t>874,73</w:t>
            </w:r>
          </w:p>
        </w:tc>
        <w:tc>
          <w:tcPr>
            <w:tcW w:w="735" w:type="pct"/>
            <w:shd w:val="clear" w:color="auto" w:fill="auto"/>
            <w:noWrap/>
            <w:vAlign w:val="center"/>
            <w:hideMark/>
          </w:tcPr>
          <w:p w14:paraId="6DA37ABC" w14:textId="35C49074" w:rsidR="00176574" w:rsidRPr="00176574" w:rsidRDefault="00176574" w:rsidP="00176574">
            <w:pPr>
              <w:jc w:val="right"/>
              <w:rPr>
                <w:sz w:val="18"/>
                <w:szCs w:val="18"/>
                <w:lang w:eastAsia="hr-HR"/>
              </w:rPr>
            </w:pPr>
            <w:r w:rsidRPr="00176574">
              <w:rPr>
                <w:sz w:val="18"/>
                <w:szCs w:val="18"/>
              </w:rPr>
              <w:t>969,73</w:t>
            </w:r>
          </w:p>
        </w:tc>
      </w:tr>
    </w:tbl>
    <w:p w14:paraId="4EC06FE6" w14:textId="77777777" w:rsidR="00596A55" w:rsidRPr="00296351" w:rsidRDefault="00596A55" w:rsidP="00A02495"/>
    <w:p w14:paraId="4791BCD2" w14:textId="32E2DD00" w:rsidR="006A729E" w:rsidRDefault="00596A55" w:rsidP="00A02495">
      <w:r w:rsidRPr="00296351">
        <w:t>Kolektivnim Ugovorom plaća direktora Društva utvrđuje se Ugovorom o radu zaključenim s Nadzornim odborom Društva. Visina bruto plaće ovisi o koeficijentu koji su utvrđeni za Pročelnika pri upravnom tijelu Grada Pule.</w:t>
      </w:r>
    </w:p>
    <w:p w14:paraId="44452550" w14:textId="77777777" w:rsidR="006A729E" w:rsidRDefault="006A729E">
      <w:pPr>
        <w:spacing w:line="240" w:lineRule="auto"/>
        <w:jc w:val="left"/>
      </w:pPr>
      <w:r>
        <w:br w:type="page"/>
      </w:r>
    </w:p>
    <w:tbl>
      <w:tblPr>
        <w:tblW w:w="5000" w:type="pct"/>
        <w:tblLayout w:type="fixed"/>
        <w:tblCellMar>
          <w:left w:w="10" w:type="dxa"/>
          <w:right w:w="10" w:type="dxa"/>
        </w:tblCellMar>
        <w:tblLook w:val="04A0" w:firstRow="1" w:lastRow="0" w:firstColumn="1" w:lastColumn="0" w:noHBand="0" w:noVBand="1"/>
      </w:tblPr>
      <w:tblGrid>
        <w:gridCol w:w="9072"/>
      </w:tblGrid>
      <w:tr w:rsidR="000C23EB" w:rsidRPr="000970FB" w14:paraId="04369FB4" w14:textId="77777777" w:rsidTr="00112F25">
        <w:trPr>
          <w:trHeight w:val="397"/>
        </w:trPr>
        <w:tc>
          <w:tcPr>
            <w:tcW w:w="9072" w:type="dxa"/>
            <w:shd w:val="clear" w:color="auto" w:fill="E7E7FF"/>
            <w:tcMar>
              <w:top w:w="0" w:type="dxa"/>
              <w:left w:w="108" w:type="dxa"/>
              <w:bottom w:w="0" w:type="dxa"/>
              <w:right w:w="108" w:type="dxa"/>
            </w:tcMar>
            <w:vAlign w:val="center"/>
          </w:tcPr>
          <w:p w14:paraId="5F98CE7E" w14:textId="7ABB9DCC" w:rsidR="000C23EB" w:rsidRPr="000970FB" w:rsidRDefault="000C23EB" w:rsidP="004257B7">
            <w:pPr>
              <w:pStyle w:val="Standard"/>
              <w:spacing w:after="0"/>
              <w:rPr>
                <w:rFonts w:ascii="Cambria" w:hAnsi="Cambria" w:cs="Arial"/>
                <w:b/>
                <w:color w:val="262626"/>
                <w:lang w:eastAsia="en-US"/>
              </w:rPr>
            </w:pPr>
            <w:r>
              <w:rPr>
                <w:rFonts w:ascii="Cambria" w:hAnsi="Cambria" w:cs="Arial"/>
                <w:b/>
                <w:color w:val="262626"/>
                <w:lang w:eastAsia="en-US"/>
              </w:rPr>
              <w:lastRenderedPageBreak/>
              <w:t>S</w:t>
            </w:r>
            <w:r w:rsidRPr="000970FB">
              <w:rPr>
                <w:rFonts w:ascii="Cambria" w:hAnsi="Cambria" w:cs="Arial"/>
                <w:b/>
                <w:color w:val="262626"/>
                <w:lang w:eastAsia="en-US"/>
              </w:rPr>
              <w:t xml:space="preserve">truktura </w:t>
            </w:r>
            <w:r>
              <w:rPr>
                <w:rFonts w:ascii="Cambria" w:hAnsi="Cambria" w:cs="Arial"/>
                <w:b/>
                <w:color w:val="262626"/>
                <w:lang w:eastAsia="en-US"/>
              </w:rPr>
              <w:t>radnih sati</w:t>
            </w:r>
            <w:r w:rsidR="008B3A10">
              <w:rPr>
                <w:rFonts w:ascii="Cambria" w:hAnsi="Cambria" w:cs="Arial"/>
                <w:b/>
                <w:color w:val="262626"/>
                <w:lang w:eastAsia="en-US"/>
              </w:rPr>
              <w:t xml:space="preserve"> u 202</w:t>
            </w:r>
            <w:r w:rsidR="00596A55">
              <w:rPr>
                <w:rFonts w:ascii="Cambria" w:hAnsi="Cambria" w:cs="Arial"/>
                <w:b/>
                <w:color w:val="262626"/>
                <w:lang w:eastAsia="en-US"/>
              </w:rPr>
              <w:t>4</w:t>
            </w:r>
            <w:r>
              <w:rPr>
                <w:rFonts w:ascii="Cambria" w:hAnsi="Cambria" w:cs="Arial"/>
                <w:b/>
                <w:color w:val="262626"/>
                <w:lang w:eastAsia="en-US"/>
              </w:rPr>
              <w:t xml:space="preserve">. </w:t>
            </w:r>
            <w:r w:rsidR="004257B7">
              <w:rPr>
                <w:rFonts w:ascii="Cambria" w:hAnsi="Cambria" w:cs="Arial"/>
                <w:b/>
                <w:color w:val="262626"/>
                <w:lang w:eastAsia="en-US"/>
              </w:rPr>
              <w:t>g</w:t>
            </w:r>
            <w:r>
              <w:rPr>
                <w:rFonts w:ascii="Cambria" w:hAnsi="Cambria" w:cs="Arial"/>
                <w:b/>
                <w:color w:val="262626"/>
                <w:lang w:eastAsia="en-US"/>
              </w:rPr>
              <w:t>odini</w:t>
            </w:r>
            <w:r w:rsidR="009E4727">
              <w:rPr>
                <w:rFonts w:ascii="Cambria" w:hAnsi="Cambria" w:cs="Arial"/>
                <w:b/>
                <w:color w:val="262626"/>
                <w:lang w:eastAsia="en-US"/>
              </w:rPr>
              <w:t xml:space="preserve"> i usporedba sa 202</w:t>
            </w:r>
            <w:r w:rsidR="00596A55">
              <w:rPr>
                <w:rFonts w:ascii="Cambria" w:hAnsi="Cambria" w:cs="Arial"/>
                <w:b/>
                <w:color w:val="262626"/>
                <w:lang w:eastAsia="en-US"/>
              </w:rPr>
              <w:t>3</w:t>
            </w:r>
            <w:r w:rsidR="009E4727">
              <w:rPr>
                <w:rFonts w:ascii="Cambria" w:hAnsi="Cambria" w:cs="Arial"/>
                <w:b/>
                <w:color w:val="262626"/>
                <w:lang w:eastAsia="en-US"/>
              </w:rPr>
              <w:t>.godinom</w:t>
            </w:r>
          </w:p>
        </w:tc>
      </w:tr>
    </w:tbl>
    <w:p w14:paraId="6FD7FE2E" w14:textId="77777777" w:rsidR="00596A55" w:rsidRDefault="00596A55" w:rsidP="00A02495"/>
    <w:tbl>
      <w:tblPr>
        <w:tblW w:w="9060" w:type="dxa"/>
        <w:tblInd w:w="108" w:type="dxa"/>
        <w:tblBorders>
          <w:top w:val="single" w:sz="4" w:space="0" w:color="BFBFBF" w:themeColor="background1" w:themeShade="BF"/>
          <w:bottom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960"/>
        <w:gridCol w:w="1312"/>
        <w:gridCol w:w="960"/>
        <w:gridCol w:w="960"/>
        <w:gridCol w:w="1180"/>
        <w:gridCol w:w="1240"/>
        <w:gridCol w:w="1360"/>
        <w:gridCol w:w="1140"/>
      </w:tblGrid>
      <w:tr w:rsidR="00596A55" w:rsidRPr="005F44E1" w14:paraId="35CEC28A" w14:textId="77777777" w:rsidTr="005347D5">
        <w:trPr>
          <w:trHeight w:val="300"/>
        </w:trPr>
        <w:tc>
          <w:tcPr>
            <w:tcW w:w="5320" w:type="dxa"/>
            <w:gridSpan w:val="5"/>
            <w:tcBorders>
              <w:top w:val="nil"/>
              <w:bottom w:val="single" w:sz="8" w:space="0" w:color="404040" w:themeColor="text1" w:themeTint="BF"/>
            </w:tcBorders>
            <w:shd w:val="clear" w:color="auto" w:fill="auto"/>
            <w:noWrap/>
            <w:vAlign w:val="center"/>
            <w:hideMark/>
          </w:tcPr>
          <w:p w14:paraId="4C3F2598" w14:textId="31E8D342" w:rsidR="00596A55" w:rsidRPr="005F44E1" w:rsidRDefault="00596A55" w:rsidP="00A02495">
            <w:pPr>
              <w:rPr>
                <w:lang w:eastAsia="hr-HR"/>
              </w:rPr>
            </w:pPr>
            <w:r w:rsidRPr="005F44E1">
              <w:rPr>
                <w:lang w:eastAsia="hr-HR"/>
              </w:rPr>
              <w:t>Struktura radnih sati u 202</w:t>
            </w:r>
            <w:r w:rsidR="00112F25">
              <w:rPr>
                <w:lang w:eastAsia="hr-HR"/>
              </w:rPr>
              <w:t>4</w:t>
            </w:r>
            <w:r w:rsidRPr="005F44E1">
              <w:rPr>
                <w:lang w:eastAsia="hr-HR"/>
              </w:rPr>
              <w:t>. godini</w:t>
            </w:r>
          </w:p>
        </w:tc>
        <w:tc>
          <w:tcPr>
            <w:tcW w:w="1240" w:type="dxa"/>
            <w:tcBorders>
              <w:top w:val="nil"/>
              <w:bottom w:val="single" w:sz="8" w:space="0" w:color="404040" w:themeColor="text1" w:themeTint="BF"/>
            </w:tcBorders>
            <w:shd w:val="clear" w:color="auto" w:fill="auto"/>
            <w:noWrap/>
            <w:vAlign w:val="bottom"/>
            <w:hideMark/>
          </w:tcPr>
          <w:p w14:paraId="2D920DDD" w14:textId="77777777" w:rsidR="00596A55" w:rsidRPr="005F44E1" w:rsidRDefault="00596A55" w:rsidP="00A02495">
            <w:pPr>
              <w:rPr>
                <w:lang w:eastAsia="hr-HR"/>
              </w:rPr>
            </w:pPr>
          </w:p>
        </w:tc>
        <w:tc>
          <w:tcPr>
            <w:tcW w:w="1360" w:type="dxa"/>
            <w:tcBorders>
              <w:top w:val="nil"/>
              <w:bottom w:val="single" w:sz="8" w:space="0" w:color="404040" w:themeColor="text1" w:themeTint="BF"/>
            </w:tcBorders>
            <w:shd w:val="clear" w:color="auto" w:fill="auto"/>
            <w:noWrap/>
            <w:vAlign w:val="bottom"/>
            <w:hideMark/>
          </w:tcPr>
          <w:p w14:paraId="572AA25D" w14:textId="77777777" w:rsidR="00596A55" w:rsidRPr="005F44E1" w:rsidRDefault="00596A55" w:rsidP="00A02495">
            <w:pPr>
              <w:rPr>
                <w:lang w:eastAsia="hr-HR"/>
              </w:rPr>
            </w:pPr>
          </w:p>
        </w:tc>
        <w:tc>
          <w:tcPr>
            <w:tcW w:w="1140" w:type="dxa"/>
            <w:tcBorders>
              <w:top w:val="nil"/>
              <w:bottom w:val="single" w:sz="8" w:space="0" w:color="404040" w:themeColor="text1" w:themeTint="BF"/>
            </w:tcBorders>
            <w:shd w:val="clear" w:color="auto" w:fill="auto"/>
            <w:noWrap/>
            <w:vAlign w:val="bottom"/>
            <w:hideMark/>
          </w:tcPr>
          <w:p w14:paraId="19A3A3C7" w14:textId="77777777" w:rsidR="00596A55" w:rsidRPr="005F44E1" w:rsidRDefault="00596A55" w:rsidP="00A02495">
            <w:pPr>
              <w:rPr>
                <w:lang w:eastAsia="hr-HR"/>
              </w:rPr>
            </w:pPr>
          </w:p>
        </w:tc>
      </w:tr>
      <w:tr w:rsidR="00596A55" w:rsidRPr="00513B34" w14:paraId="0A7BD959" w14:textId="77777777" w:rsidTr="005347D5">
        <w:trPr>
          <w:trHeight w:val="720"/>
        </w:trPr>
        <w:tc>
          <w:tcPr>
            <w:tcW w:w="960" w:type="dxa"/>
            <w:tcBorders>
              <w:top w:val="single" w:sz="8" w:space="0" w:color="404040" w:themeColor="text1" w:themeTint="BF"/>
              <w:bottom w:val="single" w:sz="8" w:space="0" w:color="404040" w:themeColor="text1" w:themeTint="BF"/>
            </w:tcBorders>
            <w:shd w:val="clear" w:color="auto" w:fill="BFBFBF" w:themeFill="background1" w:themeFillShade="BF"/>
            <w:vAlign w:val="center"/>
            <w:hideMark/>
          </w:tcPr>
          <w:p w14:paraId="5809F947" w14:textId="77777777" w:rsidR="00596A55" w:rsidRPr="00513B34" w:rsidRDefault="00596A55" w:rsidP="00D13CFD">
            <w:pPr>
              <w:jc w:val="center"/>
              <w:rPr>
                <w:sz w:val="18"/>
                <w:szCs w:val="18"/>
                <w:lang w:eastAsia="hr-HR"/>
              </w:rPr>
            </w:pPr>
            <w:r w:rsidRPr="00513B34">
              <w:rPr>
                <w:sz w:val="18"/>
                <w:szCs w:val="18"/>
                <w:lang w:eastAsia="hr-HR"/>
              </w:rPr>
              <w:t>Efektivni sati rada</w:t>
            </w:r>
          </w:p>
        </w:tc>
        <w:tc>
          <w:tcPr>
            <w:tcW w:w="1260" w:type="dxa"/>
            <w:tcBorders>
              <w:top w:val="single" w:sz="8" w:space="0" w:color="404040" w:themeColor="text1" w:themeTint="BF"/>
              <w:bottom w:val="single" w:sz="8" w:space="0" w:color="404040" w:themeColor="text1" w:themeTint="BF"/>
            </w:tcBorders>
            <w:shd w:val="clear" w:color="auto" w:fill="BFBFBF" w:themeFill="background1" w:themeFillShade="BF"/>
            <w:vAlign w:val="center"/>
            <w:hideMark/>
          </w:tcPr>
          <w:p w14:paraId="11AD0E22" w14:textId="77777777" w:rsidR="00596A55" w:rsidRPr="00513B34" w:rsidRDefault="00596A55" w:rsidP="00D13CFD">
            <w:pPr>
              <w:jc w:val="center"/>
              <w:rPr>
                <w:sz w:val="18"/>
                <w:szCs w:val="18"/>
                <w:lang w:eastAsia="hr-HR"/>
              </w:rPr>
            </w:pPr>
            <w:r w:rsidRPr="00513B34">
              <w:rPr>
                <w:sz w:val="18"/>
                <w:szCs w:val="18"/>
                <w:lang w:eastAsia="hr-HR"/>
              </w:rPr>
              <w:t>Prekovremeni sati</w:t>
            </w:r>
          </w:p>
        </w:tc>
        <w:tc>
          <w:tcPr>
            <w:tcW w:w="960" w:type="dxa"/>
            <w:tcBorders>
              <w:top w:val="single" w:sz="8" w:space="0" w:color="404040" w:themeColor="text1" w:themeTint="BF"/>
              <w:bottom w:val="single" w:sz="8" w:space="0" w:color="404040" w:themeColor="text1" w:themeTint="BF"/>
            </w:tcBorders>
            <w:shd w:val="clear" w:color="auto" w:fill="BFBFBF" w:themeFill="background1" w:themeFillShade="BF"/>
            <w:vAlign w:val="center"/>
            <w:hideMark/>
          </w:tcPr>
          <w:p w14:paraId="3703F310" w14:textId="77777777" w:rsidR="00596A55" w:rsidRPr="00513B34" w:rsidRDefault="00596A55" w:rsidP="00D13CFD">
            <w:pPr>
              <w:jc w:val="center"/>
              <w:rPr>
                <w:sz w:val="18"/>
                <w:szCs w:val="18"/>
                <w:lang w:eastAsia="hr-HR"/>
              </w:rPr>
            </w:pPr>
            <w:r w:rsidRPr="00513B34">
              <w:rPr>
                <w:sz w:val="18"/>
                <w:szCs w:val="18"/>
                <w:lang w:eastAsia="hr-HR"/>
              </w:rPr>
              <w:t>Državni praznik</w:t>
            </w:r>
          </w:p>
        </w:tc>
        <w:tc>
          <w:tcPr>
            <w:tcW w:w="960" w:type="dxa"/>
            <w:tcBorders>
              <w:top w:val="single" w:sz="8" w:space="0" w:color="404040" w:themeColor="text1" w:themeTint="BF"/>
              <w:bottom w:val="single" w:sz="8" w:space="0" w:color="404040" w:themeColor="text1" w:themeTint="BF"/>
            </w:tcBorders>
            <w:shd w:val="clear" w:color="auto" w:fill="BFBFBF" w:themeFill="background1" w:themeFillShade="BF"/>
            <w:vAlign w:val="center"/>
            <w:hideMark/>
          </w:tcPr>
          <w:p w14:paraId="2D9075F2" w14:textId="77777777" w:rsidR="00596A55" w:rsidRPr="00513B34" w:rsidRDefault="00596A55" w:rsidP="00D13CFD">
            <w:pPr>
              <w:jc w:val="center"/>
              <w:rPr>
                <w:sz w:val="18"/>
                <w:szCs w:val="18"/>
                <w:lang w:eastAsia="hr-HR"/>
              </w:rPr>
            </w:pPr>
            <w:r w:rsidRPr="00513B34">
              <w:rPr>
                <w:sz w:val="18"/>
                <w:szCs w:val="18"/>
                <w:lang w:eastAsia="hr-HR"/>
              </w:rPr>
              <w:t>Plaćeni dopust</w:t>
            </w:r>
          </w:p>
        </w:tc>
        <w:tc>
          <w:tcPr>
            <w:tcW w:w="1180" w:type="dxa"/>
            <w:tcBorders>
              <w:top w:val="single" w:sz="8" w:space="0" w:color="404040" w:themeColor="text1" w:themeTint="BF"/>
              <w:bottom w:val="single" w:sz="8" w:space="0" w:color="404040" w:themeColor="text1" w:themeTint="BF"/>
            </w:tcBorders>
            <w:shd w:val="clear" w:color="auto" w:fill="BFBFBF" w:themeFill="background1" w:themeFillShade="BF"/>
            <w:vAlign w:val="center"/>
            <w:hideMark/>
          </w:tcPr>
          <w:p w14:paraId="1A09832F" w14:textId="77777777" w:rsidR="00596A55" w:rsidRPr="00513B34" w:rsidRDefault="00596A55" w:rsidP="00D13CFD">
            <w:pPr>
              <w:jc w:val="center"/>
              <w:rPr>
                <w:sz w:val="18"/>
                <w:szCs w:val="18"/>
                <w:lang w:eastAsia="hr-HR"/>
              </w:rPr>
            </w:pPr>
            <w:r w:rsidRPr="00513B34">
              <w:rPr>
                <w:sz w:val="18"/>
                <w:szCs w:val="18"/>
                <w:lang w:eastAsia="hr-HR"/>
              </w:rPr>
              <w:t>Sati godišnjeg odmora</w:t>
            </w:r>
          </w:p>
        </w:tc>
        <w:tc>
          <w:tcPr>
            <w:tcW w:w="1240" w:type="dxa"/>
            <w:tcBorders>
              <w:top w:val="single" w:sz="8" w:space="0" w:color="404040" w:themeColor="text1" w:themeTint="BF"/>
              <w:bottom w:val="single" w:sz="8" w:space="0" w:color="404040" w:themeColor="text1" w:themeTint="BF"/>
            </w:tcBorders>
            <w:shd w:val="clear" w:color="auto" w:fill="BFBFBF" w:themeFill="background1" w:themeFillShade="BF"/>
            <w:vAlign w:val="center"/>
            <w:hideMark/>
          </w:tcPr>
          <w:p w14:paraId="79FA5360" w14:textId="77777777" w:rsidR="00596A55" w:rsidRPr="00513B34" w:rsidRDefault="00596A55" w:rsidP="00D13CFD">
            <w:pPr>
              <w:jc w:val="center"/>
              <w:rPr>
                <w:sz w:val="18"/>
                <w:szCs w:val="18"/>
                <w:lang w:eastAsia="hr-HR"/>
              </w:rPr>
            </w:pPr>
            <w:r w:rsidRPr="00513B34">
              <w:rPr>
                <w:sz w:val="18"/>
                <w:szCs w:val="18"/>
                <w:lang w:eastAsia="hr-HR"/>
              </w:rPr>
              <w:t>Sati bolovanja na teret Društva</w:t>
            </w:r>
          </w:p>
        </w:tc>
        <w:tc>
          <w:tcPr>
            <w:tcW w:w="1360" w:type="dxa"/>
            <w:tcBorders>
              <w:top w:val="single" w:sz="8" w:space="0" w:color="404040" w:themeColor="text1" w:themeTint="BF"/>
              <w:bottom w:val="single" w:sz="8" w:space="0" w:color="404040" w:themeColor="text1" w:themeTint="BF"/>
            </w:tcBorders>
            <w:shd w:val="clear" w:color="auto" w:fill="BFBFBF" w:themeFill="background1" w:themeFillShade="BF"/>
            <w:vAlign w:val="center"/>
            <w:hideMark/>
          </w:tcPr>
          <w:p w14:paraId="135D77A6" w14:textId="77777777" w:rsidR="00596A55" w:rsidRPr="00513B34" w:rsidRDefault="00596A55" w:rsidP="00D13CFD">
            <w:pPr>
              <w:jc w:val="center"/>
              <w:rPr>
                <w:sz w:val="18"/>
                <w:szCs w:val="18"/>
                <w:lang w:eastAsia="hr-HR"/>
              </w:rPr>
            </w:pPr>
            <w:r w:rsidRPr="00513B34">
              <w:rPr>
                <w:sz w:val="18"/>
                <w:szCs w:val="18"/>
                <w:lang w:eastAsia="hr-HR"/>
              </w:rPr>
              <w:t>Sati bolovanja na teret HZZO-a</w:t>
            </w:r>
          </w:p>
        </w:tc>
        <w:tc>
          <w:tcPr>
            <w:tcW w:w="1140" w:type="dxa"/>
            <w:tcBorders>
              <w:top w:val="single" w:sz="8" w:space="0" w:color="404040" w:themeColor="text1" w:themeTint="BF"/>
              <w:bottom w:val="single" w:sz="8" w:space="0" w:color="404040" w:themeColor="text1" w:themeTint="BF"/>
            </w:tcBorders>
            <w:shd w:val="clear" w:color="auto" w:fill="BFBFBF" w:themeFill="background1" w:themeFillShade="BF"/>
            <w:vAlign w:val="center"/>
            <w:hideMark/>
          </w:tcPr>
          <w:p w14:paraId="03C3D2D5" w14:textId="77777777" w:rsidR="00596A55" w:rsidRPr="00513B34" w:rsidRDefault="00596A55" w:rsidP="00D13CFD">
            <w:pPr>
              <w:jc w:val="center"/>
              <w:rPr>
                <w:sz w:val="18"/>
                <w:szCs w:val="18"/>
                <w:lang w:eastAsia="hr-HR"/>
              </w:rPr>
            </w:pPr>
            <w:r w:rsidRPr="00513B34">
              <w:rPr>
                <w:sz w:val="18"/>
                <w:szCs w:val="18"/>
                <w:lang w:eastAsia="hr-HR"/>
              </w:rPr>
              <w:t>Ukupno</w:t>
            </w:r>
          </w:p>
        </w:tc>
      </w:tr>
      <w:tr w:rsidR="00596A55" w:rsidRPr="00513B34" w14:paraId="48CFB933" w14:textId="77777777" w:rsidTr="005347D5">
        <w:trPr>
          <w:trHeight w:val="300"/>
        </w:trPr>
        <w:tc>
          <w:tcPr>
            <w:tcW w:w="960" w:type="dxa"/>
            <w:tcBorders>
              <w:top w:val="single" w:sz="8" w:space="0" w:color="404040" w:themeColor="text1" w:themeTint="BF"/>
            </w:tcBorders>
            <w:shd w:val="clear" w:color="auto" w:fill="auto"/>
            <w:noWrap/>
            <w:vAlign w:val="center"/>
            <w:hideMark/>
          </w:tcPr>
          <w:p w14:paraId="4C4DE600" w14:textId="77777777" w:rsidR="00596A55" w:rsidRPr="00513B34" w:rsidRDefault="00596A55" w:rsidP="00D13CFD">
            <w:pPr>
              <w:jc w:val="center"/>
              <w:rPr>
                <w:sz w:val="18"/>
                <w:szCs w:val="18"/>
                <w:lang w:eastAsia="hr-HR"/>
              </w:rPr>
            </w:pPr>
            <w:r w:rsidRPr="00513B34">
              <w:rPr>
                <w:sz w:val="18"/>
                <w:szCs w:val="18"/>
                <w:lang w:eastAsia="hr-HR"/>
              </w:rPr>
              <w:t>324.936</w:t>
            </w:r>
          </w:p>
        </w:tc>
        <w:tc>
          <w:tcPr>
            <w:tcW w:w="1260" w:type="dxa"/>
            <w:tcBorders>
              <w:top w:val="single" w:sz="8" w:space="0" w:color="404040" w:themeColor="text1" w:themeTint="BF"/>
            </w:tcBorders>
            <w:shd w:val="clear" w:color="auto" w:fill="auto"/>
            <w:noWrap/>
            <w:vAlign w:val="center"/>
            <w:hideMark/>
          </w:tcPr>
          <w:p w14:paraId="637D7074" w14:textId="77777777" w:rsidR="00596A55" w:rsidRPr="00513B34" w:rsidRDefault="00596A55" w:rsidP="00D13CFD">
            <w:pPr>
              <w:jc w:val="center"/>
              <w:rPr>
                <w:sz w:val="18"/>
                <w:szCs w:val="18"/>
                <w:lang w:eastAsia="hr-HR"/>
              </w:rPr>
            </w:pPr>
            <w:r w:rsidRPr="00513B34">
              <w:rPr>
                <w:sz w:val="18"/>
                <w:szCs w:val="18"/>
                <w:lang w:eastAsia="hr-HR"/>
              </w:rPr>
              <w:t>7.892</w:t>
            </w:r>
          </w:p>
        </w:tc>
        <w:tc>
          <w:tcPr>
            <w:tcW w:w="960" w:type="dxa"/>
            <w:tcBorders>
              <w:top w:val="single" w:sz="8" w:space="0" w:color="404040" w:themeColor="text1" w:themeTint="BF"/>
            </w:tcBorders>
            <w:shd w:val="clear" w:color="auto" w:fill="auto"/>
            <w:noWrap/>
            <w:vAlign w:val="center"/>
            <w:hideMark/>
          </w:tcPr>
          <w:p w14:paraId="5E5005E7" w14:textId="77777777" w:rsidR="00596A55" w:rsidRPr="00513B34" w:rsidRDefault="00596A55" w:rsidP="00D13CFD">
            <w:pPr>
              <w:jc w:val="center"/>
              <w:rPr>
                <w:sz w:val="18"/>
                <w:szCs w:val="18"/>
                <w:lang w:eastAsia="hr-HR"/>
              </w:rPr>
            </w:pPr>
            <w:r w:rsidRPr="00513B34">
              <w:rPr>
                <w:sz w:val="18"/>
                <w:szCs w:val="18"/>
                <w:lang w:eastAsia="hr-HR"/>
              </w:rPr>
              <w:t>14.260</w:t>
            </w:r>
          </w:p>
        </w:tc>
        <w:tc>
          <w:tcPr>
            <w:tcW w:w="960" w:type="dxa"/>
            <w:tcBorders>
              <w:top w:val="single" w:sz="8" w:space="0" w:color="404040" w:themeColor="text1" w:themeTint="BF"/>
            </w:tcBorders>
            <w:shd w:val="clear" w:color="auto" w:fill="auto"/>
            <w:noWrap/>
            <w:vAlign w:val="center"/>
            <w:hideMark/>
          </w:tcPr>
          <w:p w14:paraId="3EFF611C" w14:textId="77777777" w:rsidR="00596A55" w:rsidRPr="00513B34" w:rsidRDefault="00596A55" w:rsidP="00D13CFD">
            <w:pPr>
              <w:jc w:val="center"/>
              <w:rPr>
                <w:sz w:val="18"/>
                <w:szCs w:val="18"/>
                <w:lang w:eastAsia="hr-HR"/>
              </w:rPr>
            </w:pPr>
            <w:r w:rsidRPr="00513B34">
              <w:rPr>
                <w:sz w:val="18"/>
                <w:szCs w:val="18"/>
                <w:lang w:eastAsia="hr-HR"/>
              </w:rPr>
              <w:t>1.440</w:t>
            </w:r>
          </w:p>
        </w:tc>
        <w:tc>
          <w:tcPr>
            <w:tcW w:w="1180" w:type="dxa"/>
            <w:tcBorders>
              <w:top w:val="single" w:sz="8" w:space="0" w:color="404040" w:themeColor="text1" w:themeTint="BF"/>
            </w:tcBorders>
            <w:shd w:val="clear" w:color="auto" w:fill="auto"/>
            <w:noWrap/>
            <w:vAlign w:val="center"/>
            <w:hideMark/>
          </w:tcPr>
          <w:p w14:paraId="663D421E" w14:textId="77777777" w:rsidR="00596A55" w:rsidRPr="00513B34" w:rsidRDefault="00596A55" w:rsidP="00D13CFD">
            <w:pPr>
              <w:jc w:val="center"/>
              <w:rPr>
                <w:sz w:val="18"/>
                <w:szCs w:val="18"/>
                <w:lang w:eastAsia="hr-HR"/>
              </w:rPr>
            </w:pPr>
            <w:r w:rsidRPr="00513B34">
              <w:rPr>
                <w:sz w:val="18"/>
                <w:szCs w:val="18"/>
                <w:lang w:eastAsia="hr-HR"/>
              </w:rPr>
              <w:t>47.116</w:t>
            </w:r>
          </w:p>
        </w:tc>
        <w:tc>
          <w:tcPr>
            <w:tcW w:w="1240" w:type="dxa"/>
            <w:tcBorders>
              <w:top w:val="single" w:sz="8" w:space="0" w:color="404040" w:themeColor="text1" w:themeTint="BF"/>
            </w:tcBorders>
            <w:shd w:val="clear" w:color="auto" w:fill="auto"/>
            <w:noWrap/>
            <w:vAlign w:val="center"/>
            <w:hideMark/>
          </w:tcPr>
          <w:p w14:paraId="571E55A9" w14:textId="77777777" w:rsidR="00596A55" w:rsidRPr="00513B34" w:rsidRDefault="00596A55" w:rsidP="00D13CFD">
            <w:pPr>
              <w:jc w:val="center"/>
              <w:rPr>
                <w:sz w:val="18"/>
                <w:szCs w:val="18"/>
                <w:lang w:eastAsia="hr-HR"/>
              </w:rPr>
            </w:pPr>
            <w:r w:rsidRPr="00513B34">
              <w:rPr>
                <w:sz w:val="18"/>
                <w:szCs w:val="18"/>
                <w:lang w:eastAsia="hr-HR"/>
              </w:rPr>
              <w:t>18.696</w:t>
            </w:r>
          </w:p>
        </w:tc>
        <w:tc>
          <w:tcPr>
            <w:tcW w:w="1360" w:type="dxa"/>
            <w:tcBorders>
              <w:top w:val="single" w:sz="8" w:space="0" w:color="404040" w:themeColor="text1" w:themeTint="BF"/>
            </w:tcBorders>
            <w:shd w:val="clear" w:color="auto" w:fill="auto"/>
            <w:noWrap/>
            <w:vAlign w:val="center"/>
            <w:hideMark/>
          </w:tcPr>
          <w:p w14:paraId="41C9094A" w14:textId="77777777" w:rsidR="00596A55" w:rsidRPr="00513B34" w:rsidRDefault="00596A55" w:rsidP="00D13CFD">
            <w:pPr>
              <w:jc w:val="center"/>
              <w:rPr>
                <w:sz w:val="18"/>
                <w:szCs w:val="18"/>
                <w:lang w:eastAsia="hr-HR"/>
              </w:rPr>
            </w:pPr>
            <w:r w:rsidRPr="00513B34">
              <w:rPr>
                <w:sz w:val="18"/>
                <w:szCs w:val="18"/>
                <w:lang w:eastAsia="hr-HR"/>
              </w:rPr>
              <w:t>22.208</w:t>
            </w:r>
          </w:p>
        </w:tc>
        <w:tc>
          <w:tcPr>
            <w:tcW w:w="1140" w:type="dxa"/>
            <w:tcBorders>
              <w:top w:val="single" w:sz="8" w:space="0" w:color="404040" w:themeColor="text1" w:themeTint="BF"/>
            </w:tcBorders>
            <w:shd w:val="clear" w:color="auto" w:fill="auto"/>
            <w:noWrap/>
            <w:vAlign w:val="center"/>
            <w:hideMark/>
          </w:tcPr>
          <w:p w14:paraId="58762E01" w14:textId="77777777" w:rsidR="00596A55" w:rsidRPr="00513B34" w:rsidRDefault="00596A55" w:rsidP="00D13CFD">
            <w:pPr>
              <w:jc w:val="center"/>
              <w:rPr>
                <w:sz w:val="18"/>
                <w:szCs w:val="18"/>
                <w:lang w:eastAsia="hr-HR"/>
              </w:rPr>
            </w:pPr>
            <w:r w:rsidRPr="00513B34">
              <w:rPr>
                <w:sz w:val="18"/>
                <w:szCs w:val="18"/>
                <w:lang w:eastAsia="hr-HR"/>
              </w:rPr>
              <w:t>436.548</w:t>
            </w:r>
          </w:p>
        </w:tc>
      </w:tr>
      <w:tr w:rsidR="00596A55" w:rsidRPr="00513B34" w14:paraId="3FE5BF7D" w14:textId="77777777" w:rsidTr="005347D5">
        <w:trPr>
          <w:trHeight w:val="300"/>
        </w:trPr>
        <w:tc>
          <w:tcPr>
            <w:tcW w:w="960" w:type="dxa"/>
            <w:shd w:val="clear" w:color="000000" w:fill="F2F2F2"/>
            <w:noWrap/>
            <w:vAlign w:val="center"/>
            <w:hideMark/>
          </w:tcPr>
          <w:p w14:paraId="6400B563" w14:textId="77777777" w:rsidR="00596A55" w:rsidRPr="00513B34" w:rsidRDefault="00596A55" w:rsidP="00D13CFD">
            <w:pPr>
              <w:jc w:val="center"/>
              <w:rPr>
                <w:sz w:val="18"/>
                <w:szCs w:val="18"/>
                <w:lang w:eastAsia="hr-HR"/>
              </w:rPr>
            </w:pPr>
            <w:r w:rsidRPr="00513B34">
              <w:rPr>
                <w:sz w:val="18"/>
                <w:szCs w:val="18"/>
                <w:lang w:eastAsia="hr-HR"/>
              </w:rPr>
              <w:t>74,4%</w:t>
            </w:r>
          </w:p>
        </w:tc>
        <w:tc>
          <w:tcPr>
            <w:tcW w:w="1260" w:type="dxa"/>
            <w:shd w:val="clear" w:color="000000" w:fill="F2F2F2"/>
            <w:noWrap/>
            <w:vAlign w:val="center"/>
            <w:hideMark/>
          </w:tcPr>
          <w:p w14:paraId="0A3B8B55" w14:textId="77777777" w:rsidR="00596A55" w:rsidRPr="00513B34" w:rsidRDefault="00596A55" w:rsidP="00D13CFD">
            <w:pPr>
              <w:jc w:val="center"/>
              <w:rPr>
                <w:sz w:val="18"/>
                <w:szCs w:val="18"/>
                <w:lang w:eastAsia="hr-HR"/>
              </w:rPr>
            </w:pPr>
            <w:r w:rsidRPr="00513B34">
              <w:rPr>
                <w:sz w:val="18"/>
                <w:szCs w:val="18"/>
                <w:lang w:eastAsia="hr-HR"/>
              </w:rPr>
              <w:t>1,8%</w:t>
            </w:r>
          </w:p>
        </w:tc>
        <w:tc>
          <w:tcPr>
            <w:tcW w:w="960" w:type="dxa"/>
            <w:shd w:val="clear" w:color="000000" w:fill="F2F2F2"/>
            <w:noWrap/>
            <w:vAlign w:val="center"/>
            <w:hideMark/>
          </w:tcPr>
          <w:p w14:paraId="295CF2BA" w14:textId="77777777" w:rsidR="00596A55" w:rsidRPr="00513B34" w:rsidRDefault="00596A55" w:rsidP="00D13CFD">
            <w:pPr>
              <w:jc w:val="center"/>
              <w:rPr>
                <w:sz w:val="18"/>
                <w:szCs w:val="18"/>
                <w:lang w:eastAsia="hr-HR"/>
              </w:rPr>
            </w:pPr>
            <w:r w:rsidRPr="00513B34">
              <w:rPr>
                <w:sz w:val="18"/>
                <w:szCs w:val="18"/>
                <w:lang w:eastAsia="hr-HR"/>
              </w:rPr>
              <w:t>3,3%</w:t>
            </w:r>
          </w:p>
        </w:tc>
        <w:tc>
          <w:tcPr>
            <w:tcW w:w="960" w:type="dxa"/>
            <w:shd w:val="clear" w:color="000000" w:fill="F2F2F2"/>
            <w:noWrap/>
            <w:vAlign w:val="center"/>
            <w:hideMark/>
          </w:tcPr>
          <w:p w14:paraId="6DD8A1E9" w14:textId="77777777" w:rsidR="00596A55" w:rsidRPr="00513B34" w:rsidRDefault="00596A55" w:rsidP="00D13CFD">
            <w:pPr>
              <w:jc w:val="center"/>
              <w:rPr>
                <w:sz w:val="18"/>
                <w:szCs w:val="18"/>
                <w:lang w:eastAsia="hr-HR"/>
              </w:rPr>
            </w:pPr>
            <w:r w:rsidRPr="00513B34">
              <w:rPr>
                <w:sz w:val="18"/>
                <w:szCs w:val="18"/>
                <w:lang w:eastAsia="hr-HR"/>
              </w:rPr>
              <w:t>0,3%</w:t>
            </w:r>
          </w:p>
        </w:tc>
        <w:tc>
          <w:tcPr>
            <w:tcW w:w="1180" w:type="dxa"/>
            <w:shd w:val="clear" w:color="000000" w:fill="F2F2F2"/>
            <w:noWrap/>
            <w:vAlign w:val="center"/>
            <w:hideMark/>
          </w:tcPr>
          <w:p w14:paraId="2AC84768" w14:textId="77777777" w:rsidR="00596A55" w:rsidRPr="00513B34" w:rsidRDefault="00596A55" w:rsidP="00D13CFD">
            <w:pPr>
              <w:jc w:val="center"/>
              <w:rPr>
                <w:sz w:val="18"/>
                <w:szCs w:val="18"/>
                <w:lang w:eastAsia="hr-HR"/>
              </w:rPr>
            </w:pPr>
            <w:r w:rsidRPr="00513B34">
              <w:rPr>
                <w:sz w:val="18"/>
                <w:szCs w:val="18"/>
                <w:lang w:eastAsia="hr-HR"/>
              </w:rPr>
              <w:t>10,8%</w:t>
            </w:r>
          </w:p>
        </w:tc>
        <w:tc>
          <w:tcPr>
            <w:tcW w:w="1240" w:type="dxa"/>
            <w:shd w:val="clear" w:color="000000" w:fill="F2F2F2"/>
            <w:noWrap/>
            <w:vAlign w:val="center"/>
            <w:hideMark/>
          </w:tcPr>
          <w:p w14:paraId="606819A6" w14:textId="77777777" w:rsidR="00596A55" w:rsidRPr="00513B34" w:rsidRDefault="00596A55" w:rsidP="00D13CFD">
            <w:pPr>
              <w:jc w:val="center"/>
              <w:rPr>
                <w:sz w:val="18"/>
                <w:szCs w:val="18"/>
                <w:lang w:eastAsia="hr-HR"/>
              </w:rPr>
            </w:pPr>
            <w:r w:rsidRPr="00513B34">
              <w:rPr>
                <w:sz w:val="18"/>
                <w:szCs w:val="18"/>
                <w:lang w:eastAsia="hr-HR"/>
              </w:rPr>
              <w:t>4,3%</w:t>
            </w:r>
          </w:p>
        </w:tc>
        <w:tc>
          <w:tcPr>
            <w:tcW w:w="1360" w:type="dxa"/>
            <w:shd w:val="clear" w:color="000000" w:fill="F2F2F2"/>
            <w:noWrap/>
            <w:vAlign w:val="center"/>
            <w:hideMark/>
          </w:tcPr>
          <w:p w14:paraId="14ACF057" w14:textId="77777777" w:rsidR="00596A55" w:rsidRPr="00513B34" w:rsidRDefault="00596A55" w:rsidP="00D13CFD">
            <w:pPr>
              <w:jc w:val="center"/>
              <w:rPr>
                <w:sz w:val="18"/>
                <w:szCs w:val="18"/>
                <w:lang w:eastAsia="hr-HR"/>
              </w:rPr>
            </w:pPr>
            <w:r w:rsidRPr="00513B34">
              <w:rPr>
                <w:sz w:val="18"/>
                <w:szCs w:val="18"/>
                <w:lang w:eastAsia="hr-HR"/>
              </w:rPr>
              <w:t>5,1%</w:t>
            </w:r>
          </w:p>
        </w:tc>
        <w:tc>
          <w:tcPr>
            <w:tcW w:w="1140" w:type="dxa"/>
            <w:shd w:val="clear" w:color="000000" w:fill="F2F2F2"/>
            <w:noWrap/>
            <w:vAlign w:val="center"/>
            <w:hideMark/>
          </w:tcPr>
          <w:p w14:paraId="498CF6D2" w14:textId="77777777" w:rsidR="00596A55" w:rsidRPr="00513B34" w:rsidRDefault="00596A55" w:rsidP="00D13CFD">
            <w:pPr>
              <w:jc w:val="center"/>
              <w:rPr>
                <w:sz w:val="18"/>
                <w:szCs w:val="18"/>
                <w:lang w:eastAsia="hr-HR"/>
              </w:rPr>
            </w:pPr>
            <w:r w:rsidRPr="00513B34">
              <w:rPr>
                <w:sz w:val="18"/>
                <w:szCs w:val="18"/>
                <w:lang w:eastAsia="hr-HR"/>
              </w:rPr>
              <w:t>100%</w:t>
            </w:r>
          </w:p>
        </w:tc>
      </w:tr>
    </w:tbl>
    <w:p w14:paraId="6BEFF925" w14:textId="77777777" w:rsidR="00596A55" w:rsidRDefault="00596A55" w:rsidP="00A02495"/>
    <w:p w14:paraId="3C553DB1" w14:textId="77777777" w:rsidR="00112F25" w:rsidRDefault="00112F25" w:rsidP="00A02495"/>
    <w:tbl>
      <w:tblPr>
        <w:tblW w:w="9060" w:type="dxa"/>
        <w:tblInd w:w="108" w:type="dxa"/>
        <w:tblBorders>
          <w:top w:val="single" w:sz="4" w:space="0" w:color="BFBFBF" w:themeColor="background1" w:themeShade="BF"/>
          <w:bottom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960"/>
        <w:gridCol w:w="1312"/>
        <w:gridCol w:w="960"/>
        <w:gridCol w:w="960"/>
        <w:gridCol w:w="1180"/>
        <w:gridCol w:w="1240"/>
        <w:gridCol w:w="1360"/>
        <w:gridCol w:w="1140"/>
      </w:tblGrid>
      <w:tr w:rsidR="00596A55" w:rsidRPr="005F44E1" w14:paraId="59FDF56D" w14:textId="77777777" w:rsidTr="005347D5">
        <w:trPr>
          <w:trHeight w:val="300"/>
        </w:trPr>
        <w:tc>
          <w:tcPr>
            <w:tcW w:w="5320" w:type="dxa"/>
            <w:gridSpan w:val="5"/>
            <w:tcBorders>
              <w:top w:val="nil"/>
              <w:bottom w:val="single" w:sz="8" w:space="0" w:color="404040" w:themeColor="text1" w:themeTint="BF"/>
            </w:tcBorders>
            <w:shd w:val="clear" w:color="auto" w:fill="auto"/>
            <w:noWrap/>
            <w:vAlign w:val="center"/>
            <w:hideMark/>
          </w:tcPr>
          <w:p w14:paraId="7035FF5E" w14:textId="77777777" w:rsidR="00596A55" w:rsidRPr="005F44E1" w:rsidRDefault="00596A55" w:rsidP="00A02495">
            <w:pPr>
              <w:rPr>
                <w:lang w:eastAsia="hr-HR"/>
              </w:rPr>
            </w:pPr>
            <w:r w:rsidRPr="005F44E1">
              <w:rPr>
                <w:lang w:eastAsia="hr-HR"/>
              </w:rPr>
              <w:t>Struktura radnih sati u 2024. godini</w:t>
            </w:r>
          </w:p>
        </w:tc>
        <w:tc>
          <w:tcPr>
            <w:tcW w:w="1240" w:type="dxa"/>
            <w:tcBorders>
              <w:top w:val="nil"/>
              <w:bottom w:val="single" w:sz="8" w:space="0" w:color="404040" w:themeColor="text1" w:themeTint="BF"/>
            </w:tcBorders>
            <w:shd w:val="clear" w:color="auto" w:fill="auto"/>
            <w:noWrap/>
            <w:vAlign w:val="bottom"/>
            <w:hideMark/>
          </w:tcPr>
          <w:p w14:paraId="6292ADF6" w14:textId="77777777" w:rsidR="00596A55" w:rsidRPr="005F44E1" w:rsidRDefault="00596A55" w:rsidP="00A02495">
            <w:pPr>
              <w:rPr>
                <w:lang w:eastAsia="hr-HR"/>
              </w:rPr>
            </w:pPr>
          </w:p>
        </w:tc>
        <w:tc>
          <w:tcPr>
            <w:tcW w:w="1360" w:type="dxa"/>
            <w:tcBorders>
              <w:top w:val="nil"/>
              <w:bottom w:val="single" w:sz="8" w:space="0" w:color="404040" w:themeColor="text1" w:themeTint="BF"/>
            </w:tcBorders>
            <w:shd w:val="clear" w:color="auto" w:fill="auto"/>
            <w:noWrap/>
            <w:vAlign w:val="bottom"/>
            <w:hideMark/>
          </w:tcPr>
          <w:p w14:paraId="3028971A" w14:textId="77777777" w:rsidR="00596A55" w:rsidRPr="005F44E1" w:rsidRDefault="00596A55" w:rsidP="00A02495">
            <w:pPr>
              <w:rPr>
                <w:lang w:eastAsia="hr-HR"/>
              </w:rPr>
            </w:pPr>
          </w:p>
        </w:tc>
        <w:tc>
          <w:tcPr>
            <w:tcW w:w="1140" w:type="dxa"/>
            <w:tcBorders>
              <w:top w:val="nil"/>
              <w:bottom w:val="single" w:sz="8" w:space="0" w:color="404040" w:themeColor="text1" w:themeTint="BF"/>
            </w:tcBorders>
            <w:shd w:val="clear" w:color="auto" w:fill="auto"/>
            <w:noWrap/>
            <w:vAlign w:val="bottom"/>
            <w:hideMark/>
          </w:tcPr>
          <w:p w14:paraId="20398708" w14:textId="77777777" w:rsidR="00596A55" w:rsidRPr="005F44E1" w:rsidRDefault="00596A55" w:rsidP="00A02495">
            <w:pPr>
              <w:rPr>
                <w:lang w:eastAsia="hr-HR"/>
              </w:rPr>
            </w:pPr>
          </w:p>
        </w:tc>
      </w:tr>
      <w:tr w:rsidR="00596A55" w:rsidRPr="00513B34" w14:paraId="2C97435B" w14:textId="77777777" w:rsidTr="005347D5">
        <w:trPr>
          <w:trHeight w:val="720"/>
        </w:trPr>
        <w:tc>
          <w:tcPr>
            <w:tcW w:w="960" w:type="dxa"/>
            <w:tcBorders>
              <w:top w:val="single" w:sz="8" w:space="0" w:color="404040" w:themeColor="text1" w:themeTint="BF"/>
              <w:bottom w:val="single" w:sz="8" w:space="0" w:color="404040" w:themeColor="text1" w:themeTint="BF"/>
            </w:tcBorders>
            <w:shd w:val="clear" w:color="auto" w:fill="BFBFBF" w:themeFill="background1" w:themeFillShade="BF"/>
            <w:vAlign w:val="center"/>
            <w:hideMark/>
          </w:tcPr>
          <w:p w14:paraId="7EBD4749" w14:textId="77777777" w:rsidR="00596A55" w:rsidRPr="00513B34" w:rsidRDefault="00596A55" w:rsidP="00D13CFD">
            <w:pPr>
              <w:jc w:val="center"/>
              <w:rPr>
                <w:sz w:val="18"/>
                <w:szCs w:val="18"/>
                <w:lang w:eastAsia="hr-HR"/>
              </w:rPr>
            </w:pPr>
            <w:r w:rsidRPr="00513B34">
              <w:rPr>
                <w:sz w:val="18"/>
                <w:szCs w:val="18"/>
                <w:lang w:eastAsia="hr-HR"/>
              </w:rPr>
              <w:t>Efektivni sati rada</w:t>
            </w:r>
          </w:p>
        </w:tc>
        <w:tc>
          <w:tcPr>
            <w:tcW w:w="1260" w:type="dxa"/>
            <w:tcBorders>
              <w:top w:val="single" w:sz="8" w:space="0" w:color="404040" w:themeColor="text1" w:themeTint="BF"/>
              <w:bottom w:val="single" w:sz="8" w:space="0" w:color="404040" w:themeColor="text1" w:themeTint="BF"/>
            </w:tcBorders>
            <w:shd w:val="clear" w:color="auto" w:fill="BFBFBF" w:themeFill="background1" w:themeFillShade="BF"/>
            <w:vAlign w:val="center"/>
            <w:hideMark/>
          </w:tcPr>
          <w:p w14:paraId="3E64C2EA" w14:textId="77777777" w:rsidR="00596A55" w:rsidRPr="00513B34" w:rsidRDefault="00596A55" w:rsidP="00D13CFD">
            <w:pPr>
              <w:jc w:val="center"/>
              <w:rPr>
                <w:sz w:val="18"/>
                <w:szCs w:val="18"/>
                <w:lang w:eastAsia="hr-HR"/>
              </w:rPr>
            </w:pPr>
            <w:r w:rsidRPr="00513B34">
              <w:rPr>
                <w:sz w:val="18"/>
                <w:szCs w:val="18"/>
                <w:lang w:eastAsia="hr-HR"/>
              </w:rPr>
              <w:t>Prekovremeni sati</w:t>
            </w:r>
          </w:p>
        </w:tc>
        <w:tc>
          <w:tcPr>
            <w:tcW w:w="960" w:type="dxa"/>
            <w:tcBorders>
              <w:top w:val="single" w:sz="8" w:space="0" w:color="404040" w:themeColor="text1" w:themeTint="BF"/>
              <w:bottom w:val="single" w:sz="8" w:space="0" w:color="404040" w:themeColor="text1" w:themeTint="BF"/>
            </w:tcBorders>
            <w:shd w:val="clear" w:color="auto" w:fill="BFBFBF" w:themeFill="background1" w:themeFillShade="BF"/>
            <w:vAlign w:val="center"/>
            <w:hideMark/>
          </w:tcPr>
          <w:p w14:paraId="3A966D8A" w14:textId="77777777" w:rsidR="00596A55" w:rsidRPr="00513B34" w:rsidRDefault="00596A55" w:rsidP="00D13CFD">
            <w:pPr>
              <w:jc w:val="center"/>
              <w:rPr>
                <w:sz w:val="18"/>
                <w:szCs w:val="18"/>
                <w:lang w:eastAsia="hr-HR"/>
              </w:rPr>
            </w:pPr>
            <w:r w:rsidRPr="00513B34">
              <w:rPr>
                <w:sz w:val="18"/>
                <w:szCs w:val="18"/>
                <w:lang w:eastAsia="hr-HR"/>
              </w:rPr>
              <w:t>Državni praznik</w:t>
            </w:r>
          </w:p>
        </w:tc>
        <w:tc>
          <w:tcPr>
            <w:tcW w:w="960" w:type="dxa"/>
            <w:tcBorders>
              <w:top w:val="single" w:sz="8" w:space="0" w:color="404040" w:themeColor="text1" w:themeTint="BF"/>
              <w:bottom w:val="single" w:sz="8" w:space="0" w:color="404040" w:themeColor="text1" w:themeTint="BF"/>
            </w:tcBorders>
            <w:shd w:val="clear" w:color="auto" w:fill="BFBFBF" w:themeFill="background1" w:themeFillShade="BF"/>
            <w:vAlign w:val="center"/>
            <w:hideMark/>
          </w:tcPr>
          <w:p w14:paraId="37F51B81" w14:textId="77777777" w:rsidR="00596A55" w:rsidRPr="00513B34" w:rsidRDefault="00596A55" w:rsidP="00D13CFD">
            <w:pPr>
              <w:jc w:val="center"/>
              <w:rPr>
                <w:sz w:val="18"/>
                <w:szCs w:val="18"/>
                <w:lang w:eastAsia="hr-HR"/>
              </w:rPr>
            </w:pPr>
            <w:r w:rsidRPr="00513B34">
              <w:rPr>
                <w:sz w:val="18"/>
                <w:szCs w:val="18"/>
                <w:lang w:eastAsia="hr-HR"/>
              </w:rPr>
              <w:t>Plaćeni dopust</w:t>
            </w:r>
          </w:p>
        </w:tc>
        <w:tc>
          <w:tcPr>
            <w:tcW w:w="1180" w:type="dxa"/>
            <w:tcBorders>
              <w:top w:val="single" w:sz="8" w:space="0" w:color="404040" w:themeColor="text1" w:themeTint="BF"/>
              <w:bottom w:val="single" w:sz="8" w:space="0" w:color="404040" w:themeColor="text1" w:themeTint="BF"/>
            </w:tcBorders>
            <w:shd w:val="clear" w:color="auto" w:fill="BFBFBF" w:themeFill="background1" w:themeFillShade="BF"/>
            <w:vAlign w:val="center"/>
            <w:hideMark/>
          </w:tcPr>
          <w:p w14:paraId="512CEB92" w14:textId="77777777" w:rsidR="00596A55" w:rsidRPr="00513B34" w:rsidRDefault="00596A55" w:rsidP="00D13CFD">
            <w:pPr>
              <w:jc w:val="center"/>
              <w:rPr>
                <w:sz w:val="18"/>
                <w:szCs w:val="18"/>
                <w:lang w:eastAsia="hr-HR"/>
              </w:rPr>
            </w:pPr>
            <w:r w:rsidRPr="00513B34">
              <w:rPr>
                <w:sz w:val="18"/>
                <w:szCs w:val="18"/>
                <w:lang w:eastAsia="hr-HR"/>
              </w:rPr>
              <w:t>Sati godišnjeg odmora</w:t>
            </w:r>
          </w:p>
        </w:tc>
        <w:tc>
          <w:tcPr>
            <w:tcW w:w="1240" w:type="dxa"/>
            <w:tcBorders>
              <w:top w:val="single" w:sz="8" w:space="0" w:color="404040" w:themeColor="text1" w:themeTint="BF"/>
              <w:bottom w:val="single" w:sz="8" w:space="0" w:color="404040" w:themeColor="text1" w:themeTint="BF"/>
            </w:tcBorders>
            <w:shd w:val="clear" w:color="auto" w:fill="BFBFBF" w:themeFill="background1" w:themeFillShade="BF"/>
            <w:vAlign w:val="center"/>
            <w:hideMark/>
          </w:tcPr>
          <w:p w14:paraId="4356135C" w14:textId="77777777" w:rsidR="00596A55" w:rsidRPr="00513B34" w:rsidRDefault="00596A55" w:rsidP="00D13CFD">
            <w:pPr>
              <w:jc w:val="center"/>
              <w:rPr>
                <w:sz w:val="18"/>
                <w:szCs w:val="18"/>
                <w:lang w:eastAsia="hr-HR"/>
              </w:rPr>
            </w:pPr>
            <w:r w:rsidRPr="00513B34">
              <w:rPr>
                <w:sz w:val="18"/>
                <w:szCs w:val="18"/>
                <w:lang w:eastAsia="hr-HR"/>
              </w:rPr>
              <w:t>Sati bolovanja na teret Društva</w:t>
            </w:r>
          </w:p>
        </w:tc>
        <w:tc>
          <w:tcPr>
            <w:tcW w:w="1360" w:type="dxa"/>
            <w:tcBorders>
              <w:top w:val="single" w:sz="8" w:space="0" w:color="404040" w:themeColor="text1" w:themeTint="BF"/>
              <w:bottom w:val="single" w:sz="8" w:space="0" w:color="404040" w:themeColor="text1" w:themeTint="BF"/>
            </w:tcBorders>
            <w:shd w:val="clear" w:color="auto" w:fill="BFBFBF" w:themeFill="background1" w:themeFillShade="BF"/>
            <w:vAlign w:val="center"/>
            <w:hideMark/>
          </w:tcPr>
          <w:p w14:paraId="583189A9" w14:textId="77777777" w:rsidR="00596A55" w:rsidRPr="00513B34" w:rsidRDefault="00596A55" w:rsidP="00D13CFD">
            <w:pPr>
              <w:jc w:val="center"/>
              <w:rPr>
                <w:sz w:val="18"/>
                <w:szCs w:val="18"/>
                <w:lang w:eastAsia="hr-HR"/>
              </w:rPr>
            </w:pPr>
            <w:r w:rsidRPr="00513B34">
              <w:rPr>
                <w:sz w:val="18"/>
                <w:szCs w:val="18"/>
                <w:lang w:eastAsia="hr-HR"/>
              </w:rPr>
              <w:t>Sati bolovanja na teret HZZO-a</w:t>
            </w:r>
          </w:p>
        </w:tc>
        <w:tc>
          <w:tcPr>
            <w:tcW w:w="1140" w:type="dxa"/>
            <w:tcBorders>
              <w:top w:val="single" w:sz="8" w:space="0" w:color="404040" w:themeColor="text1" w:themeTint="BF"/>
              <w:bottom w:val="single" w:sz="8" w:space="0" w:color="404040" w:themeColor="text1" w:themeTint="BF"/>
            </w:tcBorders>
            <w:shd w:val="clear" w:color="auto" w:fill="BFBFBF" w:themeFill="background1" w:themeFillShade="BF"/>
            <w:vAlign w:val="center"/>
            <w:hideMark/>
          </w:tcPr>
          <w:p w14:paraId="7F7AFF0B" w14:textId="77777777" w:rsidR="00596A55" w:rsidRPr="00513B34" w:rsidRDefault="00596A55" w:rsidP="00D13CFD">
            <w:pPr>
              <w:jc w:val="center"/>
              <w:rPr>
                <w:sz w:val="18"/>
                <w:szCs w:val="18"/>
                <w:lang w:eastAsia="hr-HR"/>
              </w:rPr>
            </w:pPr>
            <w:r w:rsidRPr="00513B34">
              <w:rPr>
                <w:sz w:val="18"/>
                <w:szCs w:val="18"/>
                <w:lang w:eastAsia="hr-HR"/>
              </w:rPr>
              <w:t>Ukupno</w:t>
            </w:r>
          </w:p>
        </w:tc>
      </w:tr>
      <w:tr w:rsidR="00596A55" w:rsidRPr="00513B34" w14:paraId="5C95437F" w14:textId="77777777" w:rsidTr="005347D5">
        <w:trPr>
          <w:trHeight w:val="300"/>
        </w:trPr>
        <w:tc>
          <w:tcPr>
            <w:tcW w:w="960" w:type="dxa"/>
            <w:tcBorders>
              <w:top w:val="single" w:sz="8" w:space="0" w:color="404040" w:themeColor="text1" w:themeTint="BF"/>
            </w:tcBorders>
            <w:shd w:val="clear" w:color="auto" w:fill="auto"/>
            <w:noWrap/>
            <w:vAlign w:val="center"/>
            <w:hideMark/>
          </w:tcPr>
          <w:p w14:paraId="41FFC55D" w14:textId="77777777" w:rsidR="00596A55" w:rsidRPr="00513B34" w:rsidRDefault="00596A55" w:rsidP="00D13CFD">
            <w:pPr>
              <w:jc w:val="center"/>
              <w:rPr>
                <w:sz w:val="18"/>
                <w:szCs w:val="18"/>
                <w:lang w:eastAsia="hr-HR"/>
              </w:rPr>
            </w:pPr>
            <w:r w:rsidRPr="00513B34">
              <w:rPr>
                <w:sz w:val="18"/>
                <w:szCs w:val="18"/>
                <w:lang w:eastAsia="hr-HR"/>
              </w:rPr>
              <w:t>361.504</w:t>
            </w:r>
          </w:p>
        </w:tc>
        <w:tc>
          <w:tcPr>
            <w:tcW w:w="1260" w:type="dxa"/>
            <w:tcBorders>
              <w:top w:val="single" w:sz="8" w:space="0" w:color="404040" w:themeColor="text1" w:themeTint="BF"/>
            </w:tcBorders>
            <w:shd w:val="clear" w:color="auto" w:fill="auto"/>
            <w:noWrap/>
            <w:vAlign w:val="center"/>
            <w:hideMark/>
          </w:tcPr>
          <w:p w14:paraId="0C434952" w14:textId="77777777" w:rsidR="00596A55" w:rsidRPr="00513B34" w:rsidRDefault="00596A55" w:rsidP="00D13CFD">
            <w:pPr>
              <w:jc w:val="center"/>
              <w:rPr>
                <w:sz w:val="18"/>
                <w:szCs w:val="18"/>
                <w:lang w:eastAsia="hr-HR"/>
              </w:rPr>
            </w:pPr>
            <w:r w:rsidRPr="00513B34">
              <w:rPr>
                <w:sz w:val="18"/>
                <w:szCs w:val="18"/>
                <w:lang w:eastAsia="hr-HR"/>
              </w:rPr>
              <w:t>8.256</w:t>
            </w:r>
          </w:p>
        </w:tc>
        <w:tc>
          <w:tcPr>
            <w:tcW w:w="960" w:type="dxa"/>
            <w:tcBorders>
              <w:top w:val="single" w:sz="8" w:space="0" w:color="404040" w:themeColor="text1" w:themeTint="BF"/>
            </w:tcBorders>
            <w:shd w:val="clear" w:color="auto" w:fill="auto"/>
            <w:noWrap/>
            <w:vAlign w:val="center"/>
            <w:hideMark/>
          </w:tcPr>
          <w:p w14:paraId="0C607BAD" w14:textId="77777777" w:rsidR="00596A55" w:rsidRPr="00513B34" w:rsidRDefault="00596A55" w:rsidP="00D13CFD">
            <w:pPr>
              <w:jc w:val="center"/>
              <w:rPr>
                <w:sz w:val="18"/>
                <w:szCs w:val="18"/>
                <w:lang w:eastAsia="hr-HR"/>
              </w:rPr>
            </w:pPr>
            <w:r w:rsidRPr="00513B34">
              <w:rPr>
                <w:sz w:val="18"/>
                <w:szCs w:val="18"/>
                <w:lang w:eastAsia="hr-HR"/>
              </w:rPr>
              <w:t>17.488</w:t>
            </w:r>
          </w:p>
        </w:tc>
        <w:tc>
          <w:tcPr>
            <w:tcW w:w="960" w:type="dxa"/>
            <w:tcBorders>
              <w:top w:val="single" w:sz="8" w:space="0" w:color="404040" w:themeColor="text1" w:themeTint="BF"/>
            </w:tcBorders>
            <w:shd w:val="clear" w:color="auto" w:fill="auto"/>
            <w:noWrap/>
            <w:vAlign w:val="center"/>
            <w:hideMark/>
          </w:tcPr>
          <w:p w14:paraId="6C7547C1" w14:textId="77777777" w:rsidR="00596A55" w:rsidRPr="00513B34" w:rsidRDefault="00596A55" w:rsidP="00D13CFD">
            <w:pPr>
              <w:jc w:val="center"/>
              <w:rPr>
                <w:sz w:val="18"/>
                <w:szCs w:val="18"/>
                <w:lang w:eastAsia="hr-HR"/>
              </w:rPr>
            </w:pPr>
            <w:r w:rsidRPr="00513B34">
              <w:rPr>
                <w:sz w:val="18"/>
                <w:szCs w:val="18"/>
                <w:lang w:eastAsia="hr-HR"/>
              </w:rPr>
              <w:t>1.720</w:t>
            </w:r>
          </w:p>
        </w:tc>
        <w:tc>
          <w:tcPr>
            <w:tcW w:w="1180" w:type="dxa"/>
            <w:tcBorders>
              <w:top w:val="single" w:sz="8" w:space="0" w:color="404040" w:themeColor="text1" w:themeTint="BF"/>
            </w:tcBorders>
            <w:shd w:val="clear" w:color="auto" w:fill="auto"/>
            <w:noWrap/>
            <w:vAlign w:val="center"/>
            <w:hideMark/>
          </w:tcPr>
          <w:p w14:paraId="6A4EA1E2" w14:textId="77777777" w:rsidR="00596A55" w:rsidRPr="00513B34" w:rsidRDefault="00596A55" w:rsidP="00D13CFD">
            <w:pPr>
              <w:jc w:val="center"/>
              <w:rPr>
                <w:sz w:val="18"/>
                <w:szCs w:val="18"/>
                <w:lang w:eastAsia="hr-HR"/>
              </w:rPr>
            </w:pPr>
            <w:r w:rsidRPr="00513B34">
              <w:rPr>
                <w:sz w:val="18"/>
                <w:szCs w:val="18"/>
                <w:lang w:eastAsia="hr-HR"/>
              </w:rPr>
              <w:t>54.808</w:t>
            </w:r>
          </w:p>
        </w:tc>
        <w:tc>
          <w:tcPr>
            <w:tcW w:w="1240" w:type="dxa"/>
            <w:tcBorders>
              <w:top w:val="single" w:sz="8" w:space="0" w:color="404040" w:themeColor="text1" w:themeTint="BF"/>
            </w:tcBorders>
            <w:shd w:val="clear" w:color="auto" w:fill="auto"/>
            <w:noWrap/>
            <w:vAlign w:val="center"/>
            <w:hideMark/>
          </w:tcPr>
          <w:p w14:paraId="65A55528" w14:textId="77777777" w:rsidR="00596A55" w:rsidRPr="00513B34" w:rsidRDefault="00596A55" w:rsidP="00D13CFD">
            <w:pPr>
              <w:jc w:val="center"/>
              <w:rPr>
                <w:sz w:val="18"/>
                <w:szCs w:val="18"/>
                <w:lang w:eastAsia="hr-HR"/>
              </w:rPr>
            </w:pPr>
            <w:r w:rsidRPr="00513B34">
              <w:rPr>
                <w:sz w:val="18"/>
                <w:szCs w:val="18"/>
                <w:lang w:eastAsia="hr-HR"/>
              </w:rPr>
              <w:t>24.176</w:t>
            </w:r>
          </w:p>
        </w:tc>
        <w:tc>
          <w:tcPr>
            <w:tcW w:w="1360" w:type="dxa"/>
            <w:tcBorders>
              <w:top w:val="single" w:sz="8" w:space="0" w:color="404040" w:themeColor="text1" w:themeTint="BF"/>
            </w:tcBorders>
            <w:shd w:val="clear" w:color="auto" w:fill="auto"/>
            <w:noWrap/>
            <w:vAlign w:val="center"/>
            <w:hideMark/>
          </w:tcPr>
          <w:p w14:paraId="12C0DB9E" w14:textId="77777777" w:rsidR="00596A55" w:rsidRPr="00513B34" w:rsidRDefault="00596A55" w:rsidP="00D13CFD">
            <w:pPr>
              <w:jc w:val="center"/>
              <w:rPr>
                <w:sz w:val="18"/>
                <w:szCs w:val="18"/>
                <w:lang w:eastAsia="hr-HR"/>
              </w:rPr>
            </w:pPr>
            <w:r w:rsidRPr="00513B34">
              <w:rPr>
                <w:sz w:val="18"/>
                <w:szCs w:val="18"/>
                <w:lang w:eastAsia="hr-HR"/>
              </w:rPr>
              <w:t>23.496</w:t>
            </w:r>
          </w:p>
        </w:tc>
        <w:tc>
          <w:tcPr>
            <w:tcW w:w="1140" w:type="dxa"/>
            <w:tcBorders>
              <w:top w:val="single" w:sz="8" w:space="0" w:color="404040" w:themeColor="text1" w:themeTint="BF"/>
            </w:tcBorders>
            <w:shd w:val="clear" w:color="auto" w:fill="auto"/>
            <w:noWrap/>
            <w:vAlign w:val="center"/>
            <w:hideMark/>
          </w:tcPr>
          <w:p w14:paraId="0BB5E816" w14:textId="77777777" w:rsidR="00596A55" w:rsidRPr="00513B34" w:rsidRDefault="00596A55" w:rsidP="00D13CFD">
            <w:pPr>
              <w:jc w:val="center"/>
              <w:rPr>
                <w:sz w:val="18"/>
                <w:szCs w:val="18"/>
                <w:lang w:eastAsia="hr-HR"/>
              </w:rPr>
            </w:pPr>
            <w:r w:rsidRPr="00513B34">
              <w:rPr>
                <w:sz w:val="18"/>
                <w:szCs w:val="18"/>
                <w:lang w:eastAsia="hr-HR"/>
              </w:rPr>
              <w:t>491.448</w:t>
            </w:r>
          </w:p>
        </w:tc>
      </w:tr>
      <w:tr w:rsidR="00596A55" w:rsidRPr="00513B34" w14:paraId="7D182538" w14:textId="77777777" w:rsidTr="005347D5">
        <w:trPr>
          <w:trHeight w:val="300"/>
        </w:trPr>
        <w:tc>
          <w:tcPr>
            <w:tcW w:w="960" w:type="dxa"/>
            <w:shd w:val="clear" w:color="000000" w:fill="F2F2F2"/>
            <w:noWrap/>
            <w:vAlign w:val="center"/>
            <w:hideMark/>
          </w:tcPr>
          <w:p w14:paraId="654B3F1E" w14:textId="77777777" w:rsidR="00596A55" w:rsidRPr="00513B34" w:rsidRDefault="00596A55" w:rsidP="00D13CFD">
            <w:pPr>
              <w:jc w:val="center"/>
              <w:rPr>
                <w:sz w:val="18"/>
                <w:szCs w:val="18"/>
                <w:lang w:eastAsia="hr-HR"/>
              </w:rPr>
            </w:pPr>
            <w:r w:rsidRPr="00513B34">
              <w:rPr>
                <w:sz w:val="18"/>
                <w:szCs w:val="18"/>
                <w:lang w:eastAsia="hr-HR"/>
              </w:rPr>
              <w:t>73,6%</w:t>
            </w:r>
          </w:p>
        </w:tc>
        <w:tc>
          <w:tcPr>
            <w:tcW w:w="1260" w:type="dxa"/>
            <w:shd w:val="clear" w:color="000000" w:fill="F2F2F2"/>
            <w:noWrap/>
            <w:vAlign w:val="center"/>
            <w:hideMark/>
          </w:tcPr>
          <w:p w14:paraId="12C155E4" w14:textId="77777777" w:rsidR="00596A55" w:rsidRPr="00513B34" w:rsidRDefault="00596A55" w:rsidP="00D13CFD">
            <w:pPr>
              <w:jc w:val="center"/>
              <w:rPr>
                <w:sz w:val="18"/>
                <w:szCs w:val="18"/>
                <w:lang w:eastAsia="hr-HR"/>
              </w:rPr>
            </w:pPr>
            <w:r w:rsidRPr="00513B34">
              <w:rPr>
                <w:sz w:val="18"/>
                <w:szCs w:val="18"/>
                <w:lang w:eastAsia="hr-HR"/>
              </w:rPr>
              <w:t>1,7%</w:t>
            </w:r>
          </w:p>
        </w:tc>
        <w:tc>
          <w:tcPr>
            <w:tcW w:w="960" w:type="dxa"/>
            <w:shd w:val="clear" w:color="000000" w:fill="F2F2F2"/>
            <w:noWrap/>
            <w:vAlign w:val="center"/>
            <w:hideMark/>
          </w:tcPr>
          <w:p w14:paraId="1E08C633" w14:textId="77777777" w:rsidR="00596A55" w:rsidRPr="00513B34" w:rsidRDefault="00596A55" w:rsidP="00D13CFD">
            <w:pPr>
              <w:jc w:val="center"/>
              <w:rPr>
                <w:sz w:val="18"/>
                <w:szCs w:val="18"/>
                <w:lang w:eastAsia="hr-HR"/>
              </w:rPr>
            </w:pPr>
            <w:r w:rsidRPr="00513B34">
              <w:rPr>
                <w:sz w:val="18"/>
                <w:szCs w:val="18"/>
                <w:lang w:eastAsia="hr-HR"/>
              </w:rPr>
              <w:t>3,6%</w:t>
            </w:r>
          </w:p>
        </w:tc>
        <w:tc>
          <w:tcPr>
            <w:tcW w:w="960" w:type="dxa"/>
            <w:shd w:val="clear" w:color="000000" w:fill="F2F2F2"/>
            <w:noWrap/>
            <w:vAlign w:val="center"/>
            <w:hideMark/>
          </w:tcPr>
          <w:p w14:paraId="51A8591C" w14:textId="77777777" w:rsidR="00596A55" w:rsidRPr="00513B34" w:rsidRDefault="00596A55" w:rsidP="00D13CFD">
            <w:pPr>
              <w:jc w:val="center"/>
              <w:rPr>
                <w:sz w:val="18"/>
                <w:szCs w:val="18"/>
                <w:lang w:eastAsia="hr-HR"/>
              </w:rPr>
            </w:pPr>
            <w:r w:rsidRPr="00513B34">
              <w:rPr>
                <w:sz w:val="18"/>
                <w:szCs w:val="18"/>
                <w:lang w:eastAsia="hr-HR"/>
              </w:rPr>
              <w:t>0,3%</w:t>
            </w:r>
          </w:p>
        </w:tc>
        <w:tc>
          <w:tcPr>
            <w:tcW w:w="1180" w:type="dxa"/>
            <w:shd w:val="clear" w:color="000000" w:fill="F2F2F2"/>
            <w:noWrap/>
            <w:vAlign w:val="center"/>
            <w:hideMark/>
          </w:tcPr>
          <w:p w14:paraId="426F650F" w14:textId="77777777" w:rsidR="00596A55" w:rsidRPr="00513B34" w:rsidRDefault="00596A55" w:rsidP="00D13CFD">
            <w:pPr>
              <w:jc w:val="center"/>
              <w:rPr>
                <w:sz w:val="18"/>
                <w:szCs w:val="18"/>
                <w:lang w:eastAsia="hr-HR"/>
              </w:rPr>
            </w:pPr>
            <w:r w:rsidRPr="00513B34">
              <w:rPr>
                <w:sz w:val="18"/>
                <w:szCs w:val="18"/>
                <w:lang w:eastAsia="hr-HR"/>
              </w:rPr>
              <w:t>11,2%</w:t>
            </w:r>
          </w:p>
        </w:tc>
        <w:tc>
          <w:tcPr>
            <w:tcW w:w="1240" w:type="dxa"/>
            <w:shd w:val="clear" w:color="000000" w:fill="F2F2F2"/>
            <w:noWrap/>
            <w:vAlign w:val="center"/>
            <w:hideMark/>
          </w:tcPr>
          <w:p w14:paraId="4684BAC7" w14:textId="77777777" w:rsidR="00596A55" w:rsidRPr="00513B34" w:rsidRDefault="00596A55" w:rsidP="00D13CFD">
            <w:pPr>
              <w:jc w:val="center"/>
              <w:rPr>
                <w:sz w:val="18"/>
                <w:szCs w:val="18"/>
                <w:lang w:eastAsia="hr-HR"/>
              </w:rPr>
            </w:pPr>
            <w:r w:rsidRPr="00513B34">
              <w:rPr>
                <w:sz w:val="18"/>
                <w:szCs w:val="18"/>
                <w:lang w:eastAsia="hr-HR"/>
              </w:rPr>
              <w:t>4,9%</w:t>
            </w:r>
          </w:p>
        </w:tc>
        <w:tc>
          <w:tcPr>
            <w:tcW w:w="1360" w:type="dxa"/>
            <w:shd w:val="clear" w:color="000000" w:fill="F2F2F2"/>
            <w:noWrap/>
            <w:vAlign w:val="center"/>
            <w:hideMark/>
          </w:tcPr>
          <w:p w14:paraId="6CFE4553" w14:textId="77777777" w:rsidR="00596A55" w:rsidRPr="00513B34" w:rsidRDefault="00596A55" w:rsidP="00D13CFD">
            <w:pPr>
              <w:jc w:val="center"/>
              <w:rPr>
                <w:sz w:val="18"/>
                <w:szCs w:val="18"/>
                <w:lang w:eastAsia="hr-HR"/>
              </w:rPr>
            </w:pPr>
            <w:r w:rsidRPr="00513B34">
              <w:rPr>
                <w:sz w:val="18"/>
                <w:szCs w:val="18"/>
                <w:lang w:eastAsia="hr-HR"/>
              </w:rPr>
              <w:t>4,8%</w:t>
            </w:r>
          </w:p>
        </w:tc>
        <w:tc>
          <w:tcPr>
            <w:tcW w:w="1140" w:type="dxa"/>
            <w:shd w:val="clear" w:color="000000" w:fill="F2F2F2"/>
            <w:noWrap/>
            <w:vAlign w:val="center"/>
            <w:hideMark/>
          </w:tcPr>
          <w:p w14:paraId="71B6639B" w14:textId="77777777" w:rsidR="00596A55" w:rsidRPr="00513B34" w:rsidRDefault="00596A55" w:rsidP="00D13CFD">
            <w:pPr>
              <w:jc w:val="center"/>
              <w:rPr>
                <w:sz w:val="18"/>
                <w:szCs w:val="18"/>
                <w:lang w:eastAsia="hr-HR"/>
              </w:rPr>
            </w:pPr>
            <w:r w:rsidRPr="00513B34">
              <w:rPr>
                <w:sz w:val="18"/>
                <w:szCs w:val="18"/>
                <w:lang w:eastAsia="hr-HR"/>
              </w:rPr>
              <w:t>100%</w:t>
            </w:r>
          </w:p>
        </w:tc>
      </w:tr>
    </w:tbl>
    <w:p w14:paraId="2258D58C" w14:textId="77777777" w:rsidR="00596A55" w:rsidRDefault="00596A55" w:rsidP="00A02495"/>
    <w:p w14:paraId="69693139" w14:textId="77777777" w:rsidR="00596A55" w:rsidRPr="005F44E1" w:rsidRDefault="00596A55" w:rsidP="00D13CFD">
      <w:r w:rsidRPr="005F44E1">
        <w:t>Prekovremenih sati je bilo 8.256, odnosno 1,7%, ukupnih sati, dok je u 2023. godini broj prekovremenih sati bilo 7.892, odnosno 1,8% ukupnih sati. Gledajući po postotku udio prekovremenih sati u ukupnim satima se smanjio u 2024. u odnosu na 2023. godinu.</w:t>
      </w:r>
    </w:p>
    <w:p w14:paraId="03924A47" w14:textId="77777777" w:rsidR="00596A55" w:rsidRPr="009013E3" w:rsidRDefault="00596A55" w:rsidP="00D13CFD">
      <w:pPr>
        <w:rPr>
          <w:highlight w:val="green"/>
        </w:rPr>
      </w:pPr>
    </w:p>
    <w:p w14:paraId="1AE4AF57" w14:textId="09078EDF" w:rsidR="00465ADA" w:rsidRDefault="00596A55" w:rsidP="00D13CFD">
      <w:pPr>
        <w:pStyle w:val="Standard"/>
        <w:tabs>
          <w:tab w:val="left" w:pos="420"/>
        </w:tabs>
        <w:spacing w:after="0"/>
        <w:jc w:val="both"/>
        <w:rPr>
          <w:rFonts w:ascii="Cambria" w:hAnsi="Cambria" w:cs="Times New Roman"/>
          <w:color w:val="auto"/>
          <w:kern w:val="0"/>
          <w:sz w:val="22"/>
          <w:szCs w:val="22"/>
          <w:lang w:eastAsia="en-US"/>
        </w:rPr>
      </w:pPr>
      <w:r w:rsidRPr="005F44E1">
        <w:rPr>
          <w:rFonts w:ascii="Cambria" w:hAnsi="Cambria" w:cs="Times New Roman"/>
          <w:color w:val="auto"/>
          <w:kern w:val="0"/>
          <w:sz w:val="22"/>
          <w:szCs w:val="22"/>
          <w:lang w:eastAsia="en-US"/>
        </w:rPr>
        <w:t>Udio sati ukupnog bolovanja u strukturi čine 9,7% ukupnih sati, dok su 2023. činili 9,4% ukupnih sati. Udio bolovanja na teret društva u 2024. godini čine 4,9% ukupnih sati, a u 2023. godini su činili 4,3% ukupnih sati. Što se tiče bolovanja na teret HZZO-a, u 2024. čine 4,8% ukupnih sati, dok u 2023.godini su činili 5,1% ukupnih sati.</w:t>
      </w:r>
      <w:r>
        <w:rPr>
          <w:rFonts w:ascii="Cambria" w:hAnsi="Cambria" w:cs="Times New Roman"/>
          <w:color w:val="auto"/>
          <w:kern w:val="0"/>
          <w:sz w:val="22"/>
          <w:szCs w:val="22"/>
          <w:lang w:eastAsia="en-US"/>
        </w:rPr>
        <w:t xml:space="preserve"> </w:t>
      </w:r>
    </w:p>
    <w:p w14:paraId="35111E45" w14:textId="77777777" w:rsidR="00596A55" w:rsidRDefault="00596A55" w:rsidP="00D13CFD">
      <w:pPr>
        <w:pStyle w:val="Standard"/>
        <w:tabs>
          <w:tab w:val="left" w:pos="420"/>
        </w:tabs>
        <w:spacing w:after="0"/>
        <w:jc w:val="both"/>
        <w:rPr>
          <w:rFonts w:ascii="Cambria" w:hAnsi="Cambria" w:cs="Times New Roman"/>
          <w:color w:val="auto"/>
          <w:kern w:val="0"/>
          <w:sz w:val="22"/>
          <w:szCs w:val="22"/>
          <w:lang w:eastAsia="en-US"/>
        </w:rPr>
      </w:pPr>
    </w:p>
    <w:p w14:paraId="11614A54" w14:textId="77777777" w:rsidR="00596A55" w:rsidRPr="00465ADA" w:rsidRDefault="00596A55" w:rsidP="009F26AC">
      <w:pPr>
        <w:pStyle w:val="Standard"/>
        <w:tabs>
          <w:tab w:val="left" w:pos="420"/>
        </w:tabs>
        <w:spacing w:after="0"/>
        <w:rPr>
          <w:rFonts w:ascii="Cambria" w:hAnsi="Cambria" w:cs="Times New Roman"/>
          <w:color w:val="auto"/>
          <w:kern w:val="0"/>
          <w:sz w:val="22"/>
          <w:szCs w:val="22"/>
          <w:lang w:eastAsia="en-US"/>
        </w:rPr>
      </w:pPr>
    </w:p>
    <w:tbl>
      <w:tblPr>
        <w:tblW w:w="5000" w:type="pct"/>
        <w:tblLayout w:type="fixed"/>
        <w:tblCellMar>
          <w:left w:w="10" w:type="dxa"/>
          <w:right w:w="10" w:type="dxa"/>
        </w:tblCellMar>
        <w:tblLook w:val="04A0" w:firstRow="1" w:lastRow="0" w:firstColumn="1" w:lastColumn="0" w:noHBand="0" w:noVBand="1"/>
      </w:tblPr>
      <w:tblGrid>
        <w:gridCol w:w="9072"/>
      </w:tblGrid>
      <w:tr w:rsidR="000C23EB" w:rsidRPr="000970FB" w14:paraId="495A85C0" w14:textId="77777777" w:rsidTr="000C23EB">
        <w:trPr>
          <w:trHeight w:val="397"/>
        </w:trPr>
        <w:tc>
          <w:tcPr>
            <w:tcW w:w="9638" w:type="dxa"/>
            <w:shd w:val="clear" w:color="auto" w:fill="E7E7FF"/>
            <w:tcMar>
              <w:top w:w="0" w:type="dxa"/>
              <w:left w:w="108" w:type="dxa"/>
              <w:bottom w:w="0" w:type="dxa"/>
              <w:right w:w="108" w:type="dxa"/>
            </w:tcMar>
            <w:vAlign w:val="center"/>
          </w:tcPr>
          <w:p w14:paraId="522750FB" w14:textId="77777777" w:rsidR="000C23EB" w:rsidRPr="000970FB" w:rsidRDefault="000C23EB" w:rsidP="000C23EB">
            <w:pPr>
              <w:pStyle w:val="Standard"/>
              <w:spacing w:after="0"/>
              <w:rPr>
                <w:rFonts w:ascii="Cambria" w:hAnsi="Cambria" w:cs="Arial"/>
                <w:b/>
                <w:color w:val="262626"/>
                <w:lang w:eastAsia="en-US"/>
              </w:rPr>
            </w:pPr>
            <w:r>
              <w:rPr>
                <w:rFonts w:ascii="Cambria" w:hAnsi="Cambria" w:cs="Arial"/>
                <w:b/>
                <w:color w:val="262626"/>
                <w:lang w:eastAsia="en-US"/>
              </w:rPr>
              <w:t>Investicije i izvori financiranja</w:t>
            </w:r>
          </w:p>
        </w:tc>
      </w:tr>
    </w:tbl>
    <w:p w14:paraId="30C9E50D" w14:textId="77777777" w:rsidR="000C23EB" w:rsidRDefault="000C23EB" w:rsidP="000C23EB">
      <w:pPr>
        <w:pStyle w:val="Standard"/>
        <w:spacing w:after="0"/>
        <w:jc w:val="both"/>
        <w:rPr>
          <w:rFonts w:ascii="Cambria" w:hAnsi="Cambria" w:cs="Arial"/>
          <w:sz w:val="22"/>
          <w:szCs w:val="22"/>
        </w:rPr>
      </w:pPr>
    </w:p>
    <w:p w14:paraId="4C64F671" w14:textId="273370E9" w:rsidR="003F0BE8" w:rsidRPr="006B1ECB" w:rsidRDefault="008576BD" w:rsidP="00A02495">
      <w:r w:rsidRPr="006B1ECB">
        <w:t xml:space="preserve">Društvo je tijekom izvještajnog razdoblja investiralo ukupno </w:t>
      </w:r>
      <w:r w:rsidR="006B1ECB" w:rsidRPr="006B1ECB">
        <w:t>12.268.868</w:t>
      </w:r>
      <w:r w:rsidR="004B1BE9" w:rsidRPr="006B1ECB">
        <w:t xml:space="preserve"> eura</w:t>
      </w:r>
      <w:r w:rsidRPr="006B1ECB">
        <w:t xml:space="preserve"> što predstavlja </w:t>
      </w:r>
      <w:r w:rsidR="006B1ECB" w:rsidRPr="006B1ECB">
        <w:t>56</w:t>
      </w:r>
      <w:r w:rsidRPr="006B1ECB">
        <w:t xml:space="preserve">%-no </w:t>
      </w:r>
      <w:r w:rsidR="00B16AEC" w:rsidRPr="006B1ECB">
        <w:t>povećanje</w:t>
      </w:r>
      <w:r w:rsidRPr="006B1ECB">
        <w:t xml:space="preserve"> u odnosu na prošlu godinu. </w:t>
      </w:r>
      <w:r w:rsidR="00530CC9" w:rsidRPr="006B1ECB">
        <w:t>U izgradnju i rekonstrukciju vodovodne mreže investirano je</w:t>
      </w:r>
      <w:r w:rsidR="00D13CFD">
        <w:t xml:space="preserve"> 5.087.093</w:t>
      </w:r>
      <w:r w:rsidR="00530CC9" w:rsidRPr="006B1ECB">
        <w:t xml:space="preserve"> </w:t>
      </w:r>
      <w:r w:rsidR="00911367" w:rsidRPr="006B1ECB">
        <w:t>eura</w:t>
      </w:r>
      <w:r w:rsidR="00F45293" w:rsidRPr="006B1ECB">
        <w:t>,</w:t>
      </w:r>
      <w:r w:rsidR="00530CC9" w:rsidRPr="006B1ECB">
        <w:t xml:space="preserve"> </w:t>
      </w:r>
      <w:r w:rsidR="00911367" w:rsidRPr="006B1ECB">
        <w:t>u izgradnju i rekonstrukciju mreže odvodnje investirano je</w:t>
      </w:r>
      <w:r w:rsidR="00D13CFD">
        <w:t xml:space="preserve"> 4.966.310</w:t>
      </w:r>
      <w:r w:rsidR="00911367" w:rsidRPr="006B1ECB">
        <w:t xml:space="preserve"> eura </w:t>
      </w:r>
      <w:r w:rsidR="00530CC9" w:rsidRPr="006B1ECB">
        <w:t xml:space="preserve">dok se u osnovnu djelatnosti investiralo </w:t>
      </w:r>
      <w:r w:rsidR="006B1ECB" w:rsidRPr="006B1ECB">
        <w:t xml:space="preserve">2.215.465 </w:t>
      </w:r>
      <w:r w:rsidR="00911367" w:rsidRPr="006B1ECB">
        <w:t>eura.</w:t>
      </w:r>
    </w:p>
    <w:p w14:paraId="584F3B45" w14:textId="77777777" w:rsidR="003F0BE8" w:rsidRPr="009013E3" w:rsidRDefault="003F0BE8" w:rsidP="00A02495">
      <w:pPr>
        <w:rPr>
          <w:highlight w:val="green"/>
        </w:rPr>
      </w:pPr>
    </w:p>
    <w:p w14:paraId="72A1A752" w14:textId="77777777" w:rsidR="00530CC9" w:rsidRPr="008D0538" w:rsidRDefault="00193EF9" w:rsidP="00A02495">
      <w:r w:rsidRPr="008D0538">
        <w:t>Detaljnija</w:t>
      </w:r>
      <w:r w:rsidR="003F0BE8" w:rsidRPr="008D0538">
        <w:t xml:space="preserve"> specifi</w:t>
      </w:r>
      <w:r w:rsidRPr="008D0538">
        <w:t>kacija</w:t>
      </w:r>
      <w:r w:rsidR="003F0BE8" w:rsidRPr="008D0538">
        <w:t xml:space="preserve"> ulaganja </w:t>
      </w:r>
      <w:r w:rsidRPr="008D0538">
        <w:t xml:space="preserve">prikazana je u </w:t>
      </w:r>
      <w:r w:rsidR="003F0BE8" w:rsidRPr="008D0538">
        <w:t>izvještaju Imovina.</w:t>
      </w:r>
      <w:r w:rsidR="00530CC9" w:rsidRPr="008D0538">
        <w:tab/>
      </w:r>
    </w:p>
    <w:p w14:paraId="3E9CEC26" w14:textId="77777777" w:rsidR="00530CC9" w:rsidRPr="008D0538" w:rsidRDefault="00530CC9" w:rsidP="00A02495"/>
    <w:p w14:paraId="251C5548" w14:textId="0E3144A0" w:rsidR="00530CC9" w:rsidRPr="008D0538" w:rsidRDefault="00530CC9" w:rsidP="00A02495">
      <w:r w:rsidRPr="008D0538">
        <w:t>Izvori financiranja</w:t>
      </w:r>
      <w:r w:rsidR="008576BD" w:rsidRPr="008D0538">
        <w:t xml:space="preserve"> investicija</w:t>
      </w:r>
      <w:r w:rsidRPr="008D0538">
        <w:t xml:space="preserve"> u </w:t>
      </w:r>
      <w:r w:rsidR="008576BD" w:rsidRPr="008D0538">
        <w:t>202</w:t>
      </w:r>
      <w:r w:rsidR="008D0538" w:rsidRPr="008D0538">
        <w:t>4</w:t>
      </w:r>
      <w:r w:rsidRPr="008D0538">
        <w:t>. godini su</w:t>
      </w:r>
      <w:r w:rsidR="008576BD" w:rsidRPr="008D0538">
        <w:t xml:space="preserve">: </w:t>
      </w:r>
      <w:r w:rsidRPr="008D0538">
        <w:tab/>
      </w:r>
      <w:r w:rsidRPr="008D0538">
        <w:tab/>
      </w:r>
    </w:p>
    <w:p w14:paraId="4B007F13" w14:textId="3F38C17E" w:rsidR="00530CC9" w:rsidRDefault="00640C63" w:rsidP="00780248">
      <w:pPr>
        <w:pStyle w:val="Odlomakpopisa"/>
        <w:numPr>
          <w:ilvl w:val="0"/>
          <w:numId w:val="1"/>
        </w:numPr>
      </w:pPr>
      <w:r w:rsidRPr="008D0538">
        <w:t>Financiranje iz sredstava</w:t>
      </w:r>
      <w:r w:rsidR="00291C64" w:rsidRPr="008D0538">
        <w:t xml:space="preserve"> Hrvatskih voda</w:t>
      </w:r>
      <w:r w:rsidR="0097393D" w:rsidRPr="008D0538">
        <w:t xml:space="preserve">, </w:t>
      </w:r>
      <w:r w:rsidR="00CE6F60" w:rsidRPr="008D0538">
        <w:t xml:space="preserve">EU fondova, </w:t>
      </w:r>
      <w:r w:rsidR="0097393D" w:rsidRPr="008D0538">
        <w:t>g</w:t>
      </w:r>
      <w:r w:rsidR="00CE6F60" w:rsidRPr="008D0538">
        <w:t>radova i općina, te</w:t>
      </w:r>
      <w:r w:rsidRPr="008D0538">
        <w:t xml:space="preserve"> drugih investitora</w:t>
      </w:r>
      <w:r w:rsidR="00291C64" w:rsidRPr="008D0538">
        <w:t xml:space="preserve"> </w:t>
      </w:r>
      <w:r w:rsidR="00B16AEC" w:rsidRPr="008D0538">
        <w:t xml:space="preserve">(pravnih i fizičkih osoba) </w:t>
      </w:r>
      <w:r w:rsidR="00291C64" w:rsidRPr="008D0538">
        <w:t xml:space="preserve">u iznosu </w:t>
      </w:r>
      <w:r w:rsidR="00C068CF" w:rsidRPr="008D0538">
        <w:t xml:space="preserve"> </w:t>
      </w:r>
      <w:r w:rsidR="00780248">
        <w:t>8.232.173</w:t>
      </w:r>
      <w:r w:rsidR="00911367" w:rsidRPr="008D0538">
        <w:t xml:space="preserve"> eura</w:t>
      </w:r>
    </w:p>
    <w:p w14:paraId="31F5EDAD" w14:textId="16AF42A3" w:rsidR="00780248" w:rsidRPr="008D0538" w:rsidRDefault="00780248" w:rsidP="00780248">
      <w:pPr>
        <w:pStyle w:val="Odlomakpopisa"/>
        <w:numPr>
          <w:ilvl w:val="0"/>
          <w:numId w:val="1"/>
        </w:numPr>
      </w:pPr>
      <w:r>
        <w:t>Financijski leasing u iznosu 147.706 eura</w:t>
      </w:r>
    </w:p>
    <w:p w14:paraId="6D17E686" w14:textId="2A1CE326" w:rsidR="0008261C" w:rsidRPr="008D0538" w:rsidRDefault="00530CC9" w:rsidP="00A02495">
      <w:pPr>
        <w:pStyle w:val="Odlomakpopisa"/>
        <w:numPr>
          <w:ilvl w:val="0"/>
          <w:numId w:val="1"/>
        </w:numPr>
      </w:pPr>
      <w:r w:rsidRPr="008D0538">
        <w:t>Vlastita sredstva</w:t>
      </w:r>
      <w:r w:rsidR="005106CF" w:rsidRPr="008D0538">
        <w:t xml:space="preserve">  </w:t>
      </w:r>
      <w:r w:rsidR="0008261C" w:rsidRPr="008D0538">
        <w:t>u iznosu</w:t>
      </w:r>
      <w:r w:rsidR="005106CF" w:rsidRPr="008D0538">
        <w:t xml:space="preserve"> </w:t>
      </w:r>
      <w:r w:rsidR="008D0538" w:rsidRPr="008D0538">
        <w:t>1.697.987</w:t>
      </w:r>
      <w:r w:rsidR="00911367" w:rsidRPr="008D0538">
        <w:t xml:space="preserve"> eura</w:t>
      </w:r>
    </w:p>
    <w:p w14:paraId="48F38EBA" w14:textId="27379CBE" w:rsidR="00530CC9" w:rsidRPr="008D0538" w:rsidRDefault="0065443F" w:rsidP="00A02495">
      <w:pPr>
        <w:pStyle w:val="Odlomakpopisa"/>
        <w:numPr>
          <w:ilvl w:val="0"/>
          <w:numId w:val="1"/>
        </w:numPr>
      </w:pPr>
      <w:r w:rsidRPr="008D0538">
        <w:t>Naknad</w:t>
      </w:r>
      <w:r w:rsidR="00F36726" w:rsidRPr="008D0538">
        <w:t xml:space="preserve">e za razvoj sustava </w:t>
      </w:r>
      <w:r w:rsidR="00911367" w:rsidRPr="008D0538">
        <w:t xml:space="preserve">javne </w:t>
      </w:r>
      <w:r w:rsidR="00F36726" w:rsidRPr="008D0538">
        <w:t xml:space="preserve">vodoopskrbe </w:t>
      </w:r>
      <w:r w:rsidR="008D0538" w:rsidRPr="008D0538">
        <w:t>1.179.084</w:t>
      </w:r>
      <w:r w:rsidR="00911367" w:rsidRPr="008D0538">
        <w:t xml:space="preserve"> eura</w:t>
      </w:r>
      <w:r w:rsidR="00530CC9" w:rsidRPr="008D0538">
        <w:tab/>
      </w:r>
    </w:p>
    <w:p w14:paraId="42B74CB6" w14:textId="6F3CEE7A" w:rsidR="00911367" w:rsidRDefault="00911367" w:rsidP="00A02495">
      <w:pPr>
        <w:pStyle w:val="Odlomakpopisa"/>
        <w:numPr>
          <w:ilvl w:val="0"/>
          <w:numId w:val="1"/>
        </w:numPr>
      </w:pPr>
      <w:r w:rsidRPr="008D0538">
        <w:t xml:space="preserve">Naknade za razvoj sustava javne odvodnje  </w:t>
      </w:r>
      <w:r w:rsidR="008D0538" w:rsidRPr="008D0538">
        <w:t>1.011.918</w:t>
      </w:r>
      <w:r w:rsidR="008E4DB8" w:rsidRPr="008D0538">
        <w:t xml:space="preserve"> eura</w:t>
      </w:r>
      <w:r w:rsidRPr="008D0538">
        <w:t>.</w:t>
      </w:r>
      <w:r w:rsidRPr="008D0538">
        <w:tab/>
      </w:r>
    </w:p>
    <w:p w14:paraId="50BD8441" w14:textId="77777777" w:rsidR="00D13CFD" w:rsidRDefault="00D13CFD" w:rsidP="00D13CFD">
      <w:pPr>
        <w:pStyle w:val="Odlomakpopisa"/>
        <w:ind w:left="360"/>
      </w:pPr>
    </w:p>
    <w:p w14:paraId="0D06C57A" w14:textId="77777777" w:rsidR="00C068CF" w:rsidRDefault="00C068CF" w:rsidP="00A02495"/>
    <w:p w14:paraId="63524913" w14:textId="77777777" w:rsidR="006A729E" w:rsidRDefault="006A729E" w:rsidP="00A02495"/>
    <w:p w14:paraId="76E60466" w14:textId="77777777" w:rsidR="006A729E" w:rsidRDefault="006A729E" w:rsidP="00A02495"/>
    <w:tbl>
      <w:tblPr>
        <w:tblW w:w="5000" w:type="pct"/>
        <w:tblLayout w:type="fixed"/>
        <w:tblCellMar>
          <w:left w:w="10" w:type="dxa"/>
          <w:right w:w="10" w:type="dxa"/>
        </w:tblCellMar>
        <w:tblLook w:val="04A0" w:firstRow="1" w:lastRow="0" w:firstColumn="1" w:lastColumn="0" w:noHBand="0" w:noVBand="1"/>
      </w:tblPr>
      <w:tblGrid>
        <w:gridCol w:w="9072"/>
      </w:tblGrid>
      <w:tr w:rsidR="00ED7783" w:rsidRPr="000970FB" w14:paraId="73C4FCBC" w14:textId="77777777" w:rsidTr="005D4C4F">
        <w:trPr>
          <w:trHeight w:val="397"/>
        </w:trPr>
        <w:tc>
          <w:tcPr>
            <w:tcW w:w="9072" w:type="dxa"/>
            <w:shd w:val="clear" w:color="auto" w:fill="E7E7FF"/>
            <w:tcMar>
              <w:top w:w="0" w:type="dxa"/>
              <w:left w:w="108" w:type="dxa"/>
              <w:bottom w:w="0" w:type="dxa"/>
              <w:right w:w="108" w:type="dxa"/>
            </w:tcMar>
            <w:vAlign w:val="center"/>
          </w:tcPr>
          <w:p w14:paraId="5BC6C6C9" w14:textId="77777777" w:rsidR="00ED7783" w:rsidRPr="000970FB" w:rsidRDefault="00ED7783" w:rsidP="00ED7783">
            <w:pPr>
              <w:pStyle w:val="Standard"/>
              <w:spacing w:after="0"/>
              <w:rPr>
                <w:rFonts w:ascii="Cambria" w:hAnsi="Cambria" w:cs="Arial"/>
                <w:b/>
                <w:color w:val="262626"/>
                <w:lang w:eastAsia="en-US"/>
              </w:rPr>
            </w:pPr>
            <w:r>
              <w:rPr>
                <w:rFonts w:ascii="Cambria" w:hAnsi="Cambria" w:cs="Arial"/>
                <w:b/>
                <w:color w:val="262626"/>
                <w:lang w:eastAsia="en-US"/>
              </w:rPr>
              <w:lastRenderedPageBreak/>
              <w:t>Podaci vezani za djelatnost i fizički podaci o poslovanju</w:t>
            </w:r>
          </w:p>
        </w:tc>
      </w:tr>
    </w:tbl>
    <w:p w14:paraId="1DBBAAF2" w14:textId="77777777" w:rsidR="00596A55" w:rsidRDefault="00596A55" w:rsidP="00596A55">
      <w:pPr>
        <w:pStyle w:val="Standard"/>
        <w:spacing w:after="0"/>
        <w:jc w:val="both"/>
        <w:rPr>
          <w:rFonts w:ascii="Cambria" w:hAnsi="Cambria" w:cs="Arial"/>
          <w:sz w:val="22"/>
          <w:szCs w:val="22"/>
        </w:rPr>
      </w:pPr>
    </w:p>
    <w:p w14:paraId="4399C860" w14:textId="77777777" w:rsidR="00596A55" w:rsidRPr="00262206" w:rsidRDefault="00596A55" w:rsidP="00A02495">
      <w:r w:rsidRPr="00262206">
        <w:t>Tijekom 2024. godine zahvaćeno je i crpljeno ukupno 9.087.041 m</w:t>
      </w:r>
      <w:r w:rsidRPr="00262206">
        <w:rPr>
          <w:vertAlign w:val="superscript"/>
        </w:rPr>
        <w:t>3</w:t>
      </w:r>
      <w:r w:rsidRPr="00262206">
        <w:t xml:space="preserve"> vode što je za 2% više nego prethodne godine. Povećano crpljene vode evidentirano je kod pogona Rakonek i izvora Gradole, dok je smanjeno crpljenje vode evidentirano kod pogona Pula i akumulacije Butoniga u odnosu na prethodnu.</w:t>
      </w:r>
    </w:p>
    <w:p w14:paraId="7DA8E922" w14:textId="77777777" w:rsidR="00596A55" w:rsidRPr="009013E3" w:rsidRDefault="00596A55" w:rsidP="00A02495">
      <w:pPr>
        <w:rPr>
          <w:highlight w:val="green"/>
        </w:rPr>
      </w:pPr>
    </w:p>
    <w:p w14:paraId="5404AA85" w14:textId="77777777" w:rsidR="00596A55" w:rsidRPr="00262206" w:rsidRDefault="00596A55" w:rsidP="00A02495">
      <w:r w:rsidRPr="00262206">
        <w:t>Ukupno isporučena voda (7.638.624 m</w:t>
      </w:r>
      <w:r w:rsidRPr="00262206">
        <w:rPr>
          <w:vertAlign w:val="superscript"/>
        </w:rPr>
        <w:t>3</w:t>
      </w:r>
      <w:r w:rsidRPr="00262206">
        <w:t>) bilježi poveć</w:t>
      </w:r>
      <w:r>
        <w:t>a</w:t>
      </w:r>
      <w:r w:rsidRPr="00262206">
        <w:t>nje od 3% (ili 236.900 m</w:t>
      </w:r>
      <w:r w:rsidRPr="00262206">
        <w:rPr>
          <w:vertAlign w:val="superscript"/>
        </w:rPr>
        <w:t>3</w:t>
      </w:r>
      <w:r w:rsidRPr="00262206">
        <w:t xml:space="preserve">) u odnosu na prošlogodišnje izvještajno razdoblje. </w:t>
      </w:r>
    </w:p>
    <w:p w14:paraId="520EA32E" w14:textId="77777777" w:rsidR="00596A55" w:rsidRPr="009013E3" w:rsidRDefault="00596A55" w:rsidP="00A02495">
      <w:pPr>
        <w:rPr>
          <w:highlight w:val="green"/>
        </w:rPr>
      </w:pPr>
    </w:p>
    <w:p w14:paraId="16970703" w14:textId="5697ED14" w:rsidR="00596A55" w:rsidRPr="00262206" w:rsidRDefault="00596A55" w:rsidP="00A02495">
      <w:r w:rsidRPr="00262206">
        <w:t>Gubitak vode u 2024. godini iznosi 1.448.417 m</w:t>
      </w:r>
      <w:r w:rsidRPr="00262206">
        <w:rPr>
          <w:vertAlign w:val="superscript"/>
        </w:rPr>
        <w:t>3</w:t>
      </w:r>
      <w:r w:rsidRPr="00262206">
        <w:t xml:space="preserve"> vode, što je za 4% manje nego u 2023. godini. Postotni gubitak vode iznosi 16%,  </w:t>
      </w:r>
      <w:r w:rsidR="001B6544">
        <w:t xml:space="preserve">što je </w:t>
      </w:r>
      <w:r w:rsidRPr="00262206">
        <w:t xml:space="preserve">1% manje nego u 2023. godini. </w:t>
      </w:r>
    </w:p>
    <w:p w14:paraId="3AF4B5C3" w14:textId="77777777" w:rsidR="00596A55" w:rsidRPr="009013E3" w:rsidRDefault="00596A55" w:rsidP="00A02495">
      <w:pPr>
        <w:rPr>
          <w:highlight w:val="green"/>
        </w:rPr>
      </w:pPr>
    </w:p>
    <w:p w14:paraId="58EDD21B" w14:textId="77777777" w:rsidR="00596A55" w:rsidRPr="00262206" w:rsidRDefault="00596A55" w:rsidP="00A02495">
      <w:r w:rsidRPr="00262206">
        <w:t xml:space="preserve">Po preporuci Grupacije javnih vodovoda i kanalizacije u RH optimalnim ukupnim gubitkom </w:t>
      </w:r>
      <w:r>
        <w:t xml:space="preserve">se </w:t>
      </w:r>
      <w:r w:rsidRPr="00262206">
        <w:t xml:space="preserve">može smatrati gubitak do 25% ovisno o raspoloživim količinama, troškovima proizvodnje vode, složenosti sustava, starosti i vrsti ugrađenog cijevnog materijala i ostalih lokalnih uvjeta. Svi navedeni uvjeti značajno utječu na gubitak vode u sustavu vodoopskrbe Vodovoda Pula, ali i prag tolerancije ove pojave. </w:t>
      </w:r>
    </w:p>
    <w:p w14:paraId="36A22E99" w14:textId="77777777" w:rsidR="00596A55" w:rsidRPr="009013E3" w:rsidRDefault="00596A55" w:rsidP="00A02495">
      <w:pPr>
        <w:rPr>
          <w:highlight w:val="green"/>
        </w:rPr>
      </w:pPr>
    </w:p>
    <w:p w14:paraId="06E286CA" w14:textId="5DFF7F90" w:rsidR="00596A55" w:rsidRPr="009013E3" w:rsidRDefault="00596A55" w:rsidP="00A02495">
      <w:pPr>
        <w:rPr>
          <w:highlight w:val="green"/>
        </w:rPr>
      </w:pPr>
      <w:r w:rsidRPr="00E90578">
        <w:t>Ukupna ispuštena voda u kanalizacijski sustav za 2024. godinu iznosi 4.013.235 m</w:t>
      </w:r>
      <w:r w:rsidRPr="00E90578">
        <w:rPr>
          <w:vertAlign w:val="superscript"/>
        </w:rPr>
        <w:t>3</w:t>
      </w:r>
      <w:r>
        <w:rPr>
          <w:vertAlign w:val="superscript"/>
        </w:rPr>
        <w:t xml:space="preserve"> </w:t>
      </w:r>
      <w:r>
        <w:t xml:space="preserve">što je za </w:t>
      </w:r>
      <w:r w:rsidR="001B6544">
        <w:t>4</w:t>
      </w:r>
      <w:r>
        <w:t>% više u odnosu na prošlu godinu (</w:t>
      </w:r>
      <w:r w:rsidRPr="00CC00E6">
        <w:t>za usporedbu s 2023. godinom uzeti u obzir i podaci Pragrande d.o.o. 01.-05.2023.)</w:t>
      </w:r>
      <w:r>
        <w:t xml:space="preserve"> .</w:t>
      </w:r>
      <w:r w:rsidRPr="00035A3E">
        <w:t xml:space="preserve"> Od ukupne ispuštene vode 7</w:t>
      </w:r>
      <w:r w:rsidR="001B6544">
        <w:t>4</w:t>
      </w:r>
      <w:r w:rsidRPr="00035A3E">
        <w:t xml:space="preserve">% odnosi se na stambene prostore, a 26% odnosi se na poslovne prostore.  </w:t>
      </w:r>
    </w:p>
    <w:p w14:paraId="3B59B9BE" w14:textId="77777777" w:rsidR="00596A55" w:rsidRPr="009013E3" w:rsidRDefault="00596A55" w:rsidP="00A02495">
      <w:pPr>
        <w:pStyle w:val="Odlomakpopisa"/>
        <w:rPr>
          <w:highlight w:val="green"/>
        </w:rPr>
      </w:pPr>
    </w:p>
    <w:p w14:paraId="7C377700" w14:textId="0D0ED628" w:rsidR="00596A55" w:rsidRPr="00784755" w:rsidRDefault="00596A55" w:rsidP="00A02495">
      <w:r w:rsidRPr="00784755">
        <w:t xml:space="preserve">Količina ispumpanih otpadnih voda iz sabirnih jama za 2024. godinu iznosi </w:t>
      </w:r>
      <w:r w:rsidR="001B6544">
        <w:t>27.406</w:t>
      </w:r>
      <w:r w:rsidRPr="00784755">
        <w:t xml:space="preserve"> m</w:t>
      </w:r>
      <w:r w:rsidRPr="00784755">
        <w:rPr>
          <w:vertAlign w:val="superscript"/>
        </w:rPr>
        <w:t>3</w:t>
      </w:r>
      <w:r w:rsidRPr="00784755">
        <w:t xml:space="preserve">. što je za </w:t>
      </w:r>
      <w:r w:rsidR="001B6544">
        <w:t>10</w:t>
      </w:r>
      <w:r w:rsidRPr="00784755">
        <w:t xml:space="preserve">% </w:t>
      </w:r>
      <w:r w:rsidR="001B6544">
        <w:t>više</w:t>
      </w:r>
      <w:r w:rsidRPr="00784755">
        <w:t xml:space="preserve"> nego u 2023. godini</w:t>
      </w:r>
      <w:r>
        <w:t xml:space="preserve"> (</w:t>
      </w:r>
      <w:r w:rsidRPr="00CC00E6">
        <w:t>za usporedbu s 2023. godinom uzeti u obzir i podaci Pragrande d.o.o. 01.-05.2023</w:t>
      </w:r>
      <w:r w:rsidRPr="0007215F">
        <w:rPr>
          <w:sz w:val="20"/>
        </w:rPr>
        <w:t>.</w:t>
      </w:r>
      <w:r>
        <w:t>)</w:t>
      </w:r>
      <w:r w:rsidRPr="00784755">
        <w:t>.</w:t>
      </w:r>
    </w:p>
    <w:p w14:paraId="76DD380D" w14:textId="77777777" w:rsidR="00596A55" w:rsidRPr="00784755" w:rsidRDefault="00596A55" w:rsidP="00A02495">
      <w:pPr>
        <w:pStyle w:val="Odlomakpopisa"/>
      </w:pPr>
    </w:p>
    <w:p w14:paraId="1FBC5112" w14:textId="5B66C5AF" w:rsidR="00596A55" w:rsidRPr="001D274C" w:rsidRDefault="001B6544" w:rsidP="00A02495">
      <w:r>
        <w:t>Na dan posljednji dan 2024. godine bilo je 35.437 korisnika kanalizacijskog sustava (1% više u odnosu na prethodnu godinu)</w:t>
      </w:r>
      <w:r w:rsidR="00693E35">
        <w:t>. Kategorija stambenih prostora brojala je 31.732 korisnika, a kategorija poslovnih korisnika 3.705 korisnika.</w:t>
      </w:r>
    </w:p>
    <w:p w14:paraId="34F5446B" w14:textId="77777777" w:rsidR="00596A55" w:rsidRDefault="00596A55" w:rsidP="00ED7783">
      <w:pPr>
        <w:pStyle w:val="Standard"/>
        <w:spacing w:after="0"/>
        <w:jc w:val="both"/>
        <w:rPr>
          <w:rFonts w:ascii="Cambria" w:hAnsi="Cambria" w:cs="Arial"/>
          <w:sz w:val="22"/>
          <w:szCs w:val="22"/>
        </w:rPr>
      </w:pPr>
    </w:p>
    <w:p w14:paraId="78D4AB6B" w14:textId="77777777" w:rsidR="004B1BE9" w:rsidRDefault="004B1BE9" w:rsidP="00A02495"/>
    <w:p w14:paraId="7080C559" w14:textId="77777777" w:rsidR="00596A55" w:rsidRDefault="00596A55" w:rsidP="00A02495"/>
    <w:p w14:paraId="3C6736EF" w14:textId="77777777" w:rsidR="00596A55" w:rsidRDefault="00596A55" w:rsidP="00A02495"/>
    <w:p w14:paraId="20F9FC48" w14:textId="77777777" w:rsidR="00596A55" w:rsidRDefault="00596A55" w:rsidP="00A02495"/>
    <w:p w14:paraId="6AEC8B37" w14:textId="77777777" w:rsidR="00596A55" w:rsidRDefault="00596A55" w:rsidP="00A02495"/>
    <w:p w14:paraId="5FBFDACA" w14:textId="77777777" w:rsidR="00596A55" w:rsidRDefault="00596A55" w:rsidP="00A02495"/>
    <w:p w14:paraId="5994565E" w14:textId="77777777" w:rsidR="00596A55" w:rsidRDefault="00596A55" w:rsidP="00A02495"/>
    <w:p w14:paraId="778D6784" w14:textId="77777777" w:rsidR="00596A55" w:rsidRDefault="00596A55" w:rsidP="00A02495"/>
    <w:p w14:paraId="70886E2B" w14:textId="77777777" w:rsidR="00596A55" w:rsidRPr="00F108A1" w:rsidRDefault="00596A55" w:rsidP="00A02495"/>
    <w:p w14:paraId="11C1108D" w14:textId="77777777" w:rsidR="004B1BE9" w:rsidRDefault="004B1BE9" w:rsidP="00A02495"/>
    <w:p w14:paraId="36A49B42" w14:textId="77777777" w:rsidR="004B1BE9" w:rsidRDefault="004B1BE9" w:rsidP="00A02495"/>
    <w:p w14:paraId="63E508FE" w14:textId="77777777" w:rsidR="004B1BE9" w:rsidRDefault="004B1BE9" w:rsidP="00A02495"/>
    <w:p w14:paraId="25D44C27" w14:textId="77777777" w:rsidR="00652B5E" w:rsidRDefault="00652B5E" w:rsidP="00A02495"/>
    <w:p w14:paraId="57F61817" w14:textId="77777777" w:rsidR="00652B5E" w:rsidRDefault="00652B5E" w:rsidP="00A02495"/>
    <w:p w14:paraId="6496E631" w14:textId="77777777" w:rsidR="004B1BE9" w:rsidRDefault="004B1BE9" w:rsidP="00A02495"/>
    <w:p w14:paraId="6FB8C957" w14:textId="7B7F657F" w:rsidR="004D2A2E" w:rsidRDefault="004D2A2E" w:rsidP="004D2A2E">
      <w:pPr>
        <w:pStyle w:val="Standard"/>
        <w:spacing w:after="0"/>
        <w:rPr>
          <w:rFonts w:ascii="Cambria" w:hAnsi="Cambria" w:cs="Arial"/>
          <w:b/>
          <w:color w:val="262626"/>
          <w:szCs w:val="18"/>
        </w:rPr>
      </w:pPr>
      <w:r>
        <w:rPr>
          <w:rFonts w:ascii="Cambria" w:hAnsi="Cambria" w:cs="Arial"/>
          <w:b/>
          <w:color w:val="262626"/>
          <w:szCs w:val="18"/>
        </w:rPr>
        <w:lastRenderedPageBreak/>
        <w:t>Izvještaj 5.</w:t>
      </w:r>
    </w:p>
    <w:p w14:paraId="1F10F483" w14:textId="77777777" w:rsidR="004D2A2E" w:rsidRDefault="004D2A2E" w:rsidP="004D2A2E">
      <w:pPr>
        <w:pStyle w:val="Standard"/>
        <w:pBdr>
          <w:bottom w:val="single" w:sz="18" w:space="1" w:color="000080"/>
        </w:pBdr>
        <w:spacing w:after="0" w:line="360" w:lineRule="auto"/>
        <w:rPr>
          <w:rFonts w:ascii="Cambria" w:hAnsi="Cambria" w:cs="Arial"/>
          <w:b/>
          <w:color w:val="262626"/>
          <w:sz w:val="40"/>
          <w:szCs w:val="26"/>
        </w:rPr>
      </w:pPr>
      <w:r>
        <w:rPr>
          <w:rFonts w:ascii="Cambria" w:hAnsi="Cambria" w:cs="Arial"/>
          <w:b/>
          <w:color w:val="262626"/>
          <w:sz w:val="40"/>
          <w:szCs w:val="26"/>
        </w:rPr>
        <w:t xml:space="preserve">POKAZATELJI </w:t>
      </w:r>
    </w:p>
    <w:p w14:paraId="6880FA43" w14:textId="77777777" w:rsidR="004D2A2E" w:rsidRDefault="004D2A2E" w:rsidP="004D2A2E">
      <w:pPr>
        <w:pStyle w:val="Standard"/>
        <w:spacing w:after="0"/>
        <w:jc w:val="center"/>
        <w:rPr>
          <w:rFonts w:ascii="Cambria" w:hAnsi="Cambria"/>
        </w:rPr>
      </w:pPr>
    </w:p>
    <w:p w14:paraId="370DD0C7" w14:textId="77777777" w:rsidR="004D2A2E" w:rsidRDefault="004D2A2E" w:rsidP="004D2A2E">
      <w:pPr>
        <w:pStyle w:val="Standard"/>
        <w:spacing w:after="0"/>
        <w:rPr>
          <w:rFonts w:ascii="Cambria" w:eastAsia="Times New Roman" w:hAnsi="Cambria" w:cs="Arial"/>
        </w:rPr>
      </w:pPr>
    </w:p>
    <w:tbl>
      <w:tblPr>
        <w:tblW w:w="5000" w:type="pct"/>
        <w:tblLayout w:type="fixed"/>
        <w:tblCellMar>
          <w:left w:w="10" w:type="dxa"/>
          <w:right w:w="10" w:type="dxa"/>
        </w:tblCellMar>
        <w:tblLook w:val="04A0" w:firstRow="1" w:lastRow="0" w:firstColumn="1" w:lastColumn="0" w:noHBand="0" w:noVBand="1"/>
      </w:tblPr>
      <w:tblGrid>
        <w:gridCol w:w="9072"/>
      </w:tblGrid>
      <w:tr w:rsidR="004D2A2E" w14:paraId="6D0F642D" w14:textId="77777777" w:rsidTr="006C7AA7">
        <w:trPr>
          <w:trHeight w:val="397"/>
        </w:trPr>
        <w:tc>
          <w:tcPr>
            <w:tcW w:w="9638" w:type="dxa"/>
            <w:shd w:val="clear" w:color="auto" w:fill="E7E7FF"/>
            <w:tcMar>
              <w:top w:w="0" w:type="dxa"/>
              <w:left w:w="108" w:type="dxa"/>
              <w:bottom w:w="0" w:type="dxa"/>
              <w:right w:w="108" w:type="dxa"/>
            </w:tcMar>
            <w:vAlign w:val="center"/>
          </w:tcPr>
          <w:p w14:paraId="280F4679" w14:textId="77777777" w:rsidR="004D2A2E" w:rsidRDefault="004D2A2E" w:rsidP="006C7AA7">
            <w:pPr>
              <w:pStyle w:val="Standard"/>
              <w:spacing w:after="0"/>
              <w:rPr>
                <w:rFonts w:ascii="Cambria" w:hAnsi="Cambria" w:cs="Arial"/>
                <w:b/>
                <w:color w:val="262626"/>
                <w:lang w:eastAsia="en-US"/>
              </w:rPr>
            </w:pPr>
            <w:r>
              <w:rPr>
                <w:rFonts w:ascii="Cambria" w:hAnsi="Cambria" w:cs="Arial"/>
                <w:b/>
                <w:color w:val="262626"/>
                <w:lang w:eastAsia="en-US"/>
              </w:rPr>
              <w:t>Ocjena poslovanja</w:t>
            </w:r>
          </w:p>
        </w:tc>
      </w:tr>
    </w:tbl>
    <w:p w14:paraId="0282F27C" w14:textId="77777777" w:rsidR="004D2A2E" w:rsidRDefault="004D2A2E" w:rsidP="004D2A2E">
      <w:pPr>
        <w:pStyle w:val="Standard"/>
        <w:tabs>
          <w:tab w:val="left" w:pos="420"/>
          <w:tab w:val="center" w:pos="4536"/>
          <w:tab w:val="right" w:pos="9072"/>
        </w:tabs>
        <w:spacing w:after="0"/>
        <w:jc w:val="both"/>
        <w:rPr>
          <w:rFonts w:ascii="Cambria" w:hAnsi="Cambria"/>
          <w:sz w:val="22"/>
          <w:szCs w:val="22"/>
        </w:rPr>
      </w:pPr>
    </w:p>
    <w:p w14:paraId="4DED0D40" w14:textId="0F7D3134" w:rsidR="001456F0" w:rsidRPr="00A27A80" w:rsidRDefault="00E95D52" w:rsidP="00A02495">
      <w:r w:rsidRPr="00A27A80">
        <w:t xml:space="preserve">Pokazatelji po zaposlenom </w:t>
      </w:r>
      <w:r w:rsidR="002228E6">
        <w:t>ukazuju</w:t>
      </w:r>
      <w:r w:rsidRPr="00A27A80">
        <w:t xml:space="preserve"> da </w:t>
      </w:r>
      <w:r w:rsidR="00693E35">
        <w:t xml:space="preserve">je </w:t>
      </w:r>
      <w:r w:rsidRPr="00A27A80">
        <w:t>p</w:t>
      </w:r>
      <w:r w:rsidR="001456F0" w:rsidRPr="00A27A80">
        <w:t>rihod po zaposlenom</w:t>
      </w:r>
      <w:r w:rsidRPr="00A27A80">
        <w:t xml:space="preserve"> (Ukupan prihod / broj zaposlenih)</w:t>
      </w:r>
      <w:r w:rsidR="001456F0" w:rsidRPr="00A27A80">
        <w:t xml:space="preserve"> </w:t>
      </w:r>
      <w:r w:rsidR="001652E3" w:rsidRPr="00A27A80">
        <w:t>veći</w:t>
      </w:r>
      <w:r w:rsidR="00EF7E47" w:rsidRPr="00A27A80">
        <w:t xml:space="preserve"> za </w:t>
      </w:r>
      <w:r w:rsidR="001652E3" w:rsidRPr="00A27A80">
        <w:t>1</w:t>
      </w:r>
      <w:r w:rsidR="00A27A80" w:rsidRPr="00A27A80">
        <w:t>5</w:t>
      </w:r>
      <w:r w:rsidR="00EF7E47" w:rsidRPr="00A27A80">
        <w:t>% u odnosu na</w:t>
      </w:r>
      <w:r w:rsidR="001456F0" w:rsidRPr="00A27A80">
        <w:t xml:space="preserve"> prethodn</w:t>
      </w:r>
      <w:r w:rsidR="00EF7E47" w:rsidRPr="00A27A80">
        <w:t>u</w:t>
      </w:r>
      <w:r w:rsidR="001456F0" w:rsidRPr="00A27A80">
        <w:t xml:space="preserve"> godin</w:t>
      </w:r>
      <w:r w:rsidR="00EF7E47" w:rsidRPr="00A27A80">
        <w:t>u</w:t>
      </w:r>
      <w:r w:rsidR="001456F0" w:rsidRPr="00A27A80">
        <w:t xml:space="preserve">, </w:t>
      </w:r>
      <w:r w:rsidR="009C7F40" w:rsidRPr="00A27A80">
        <w:t>kao i</w:t>
      </w:r>
      <w:r w:rsidR="001456F0" w:rsidRPr="00A27A80">
        <w:t xml:space="preserve"> troškovi po zaposlenom</w:t>
      </w:r>
      <w:r w:rsidRPr="00A27A80">
        <w:t xml:space="preserve"> (Ukupan rashod / broj zaposlenih)</w:t>
      </w:r>
      <w:r w:rsidR="001456F0" w:rsidRPr="00A27A80">
        <w:t>.</w:t>
      </w:r>
      <w:r w:rsidR="00485BEA" w:rsidRPr="00A27A80">
        <w:t xml:space="preserve"> </w:t>
      </w:r>
      <w:r w:rsidR="001456F0" w:rsidRPr="00A27A80">
        <w:t xml:space="preserve"> Troškovi osoblja po zaposlenom</w:t>
      </w:r>
      <w:r w:rsidRPr="00A27A80">
        <w:t xml:space="preserve"> (troškovi osoblja / broj zaposlenih)</w:t>
      </w:r>
      <w:r w:rsidR="001456F0" w:rsidRPr="00A27A80">
        <w:t xml:space="preserve"> bilježe </w:t>
      </w:r>
      <w:r w:rsidR="00A27A80" w:rsidRPr="00A27A80">
        <w:t>21</w:t>
      </w:r>
      <w:r w:rsidR="001456F0" w:rsidRPr="00A27A80">
        <w:t xml:space="preserve">%-no </w:t>
      </w:r>
      <w:r w:rsidR="00EF7E47" w:rsidRPr="00A27A80">
        <w:t>povećanje</w:t>
      </w:r>
      <w:r w:rsidR="001456F0" w:rsidRPr="00A27A80">
        <w:t>.</w:t>
      </w:r>
    </w:p>
    <w:p w14:paraId="1A222A8B" w14:textId="77777777" w:rsidR="001456F0" w:rsidRPr="009013E3" w:rsidRDefault="001456F0" w:rsidP="00A02495">
      <w:pPr>
        <w:rPr>
          <w:highlight w:val="magenta"/>
        </w:rPr>
      </w:pPr>
    </w:p>
    <w:p w14:paraId="2BC6C541" w14:textId="51302C33" w:rsidR="001456F0" w:rsidRPr="00DE2A1F" w:rsidRDefault="001456F0" w:rsidP="00A02495">
      <w:r w:rsidRPr="00DE2A1F">
        <w:t xml:space="preserve">Pokazatelji likvidnosti su </w:t>
      </w:r>
      <w:r w:rsidR="00D04768" w:rsidRPr="00DE2A1F">
        <w:t>manji</w:t>
      </w:r>
      <w:r w:rsidR="00EF7E47" w:rsidRPr="00DE2A1F">
        <w:t xml:space="preserve"> u odnosu na 202</w:t>
      </w:r>
      <w:r w:rsidR="00693E35">
        <w:t>3</w:t>
      </w:r>
      <w:r w:rsidRPr="00DE2A1F">
        <w:t>. godin</w:t>
      </w:r>
      <w:r w:rsidR="00EF7E47" w:rsidRPr="00DE2A1F">
        <w:t>u</w:t>
      </w:r>
      <w:r w:rsidRPr="00DE2A1F">
        <w:t xml:space="preserve">, odnosno pokazatelj </w:t>
      </w:r>
      <w:r w:rsidR="00DB403A" w:rsidRPr="00DE2A1F">
        <w:t xml:space="preserve">ubrzane likvidnosti </w:t>
      </w:r>
      <w:r w:rsidR="00E95D52" w:rsidRPr="00DE2A1F">
        <w:t>(</w:t>
      </w:r>
      <w:r w:rsidR="00DE2A1F" w:rsidRPr="00DE2A1F">
        <w:t>kratkotrajna imovina umanjena za vrijednost zaliha</w:t>
      </w:r>
      <w:r w:rsidR="00E95D52" w:rsidRPr="00DE2A1F">
        <w:t xml:space="preserve"> /  kratkoročne obveze) </w:t>
      </w:r>
      <w:r w:rsidR="00DB403A" w:rsidRPr="00DE2A1F">
        <w:t xml:space="preserve">iznosi </w:t>
      </w:r>
      <w:r w:rsidR="00DE2A1F" w:rsidRPr="00DE2A1F">
        <w:t>0,9</w:t>
      </w:r>
      <w:r w:rsidR="00801A54" w:rsidRPr="00DE2A1F">
        <w:t xml:space="preserve"> </w:t>
      </w:r>
      <w:r w:rsidR="00DB403A" w:rsidRPr="00DE2A1F">
        <w:t xml:space="preserve"> </w:t>
      </w:r>
      <w:r w:rsidR="00801A54" w:rsidRPr="00DE2A1F">
        <w:t>i</w:t>
      </w:r>
      <w:r w:rsidR="00693E35">
        <w:t xml:space="preserve"> pokazatelj</w:t>
      </w:r>
      <w:r w:rsidR="00DB403A" w:rsidRPr="00DE2A1F">
        <w:t xml:space="preserve"> </w:t>
      </w:r>
      <w:r w:rsidRPr="00DE2A1F">
        <w:t xml:space="preserve"> tekuće likvidnosti </w:t>
      </w:r>
      <w:r w:rsidR="00E95D52" w:rsidRPr="00DE2A1F">
        <w:t xml:space="preserve"> (kratkotrajna imovina / kratkoročne obveze) iznosi </w:t>
      </w:r>
      <w:r w:rsidR="00DE2A1F" w:rsidRPr="00DE2A1F">
        <w:t>0,97</w:t>
      </w:r>
      <w:r w:rsidR="00801A54" w:rsidRPr="00DE2A1F">
        <w:t>.</w:t>
      </w:r>
    </w:p>
    <w:p w14:paraId="038A0F48" w14:textId="77777777" w:rsidR="001456F0" w:rsidRPr="009013E3" w:rsidRDefault="001456F0" w:rsidP="00A02495">
      <w:pPr>
        <w:rPr>
          <w:highlight w:val="magenta"/>
        </w:rPr>
      </w:pPr>
    </w:p>
    <w:p w14:paraId="6278E744" w14:textId="7AE7630B" w:rsidR="001456F0" w:rsidRPr="00DE2A1F" w:rsidRDefault="001456F0" w:rsidP="00A02495">
      <w:r w:rsidRPr="00DE2A1F">
        <w:t xml:space="preserve">Pokazatelji zaduženosti ukazuju da je imovina Društva u </w:t>
      </w:r>
      <w:r w:rsidR="002228E6">
        <w:t>81</w:t>
      </w:r>
      <w:r w:rsidRPr="00DE2A1F">
        <w:t xml:space="preserve">%-om iznosu financirana iz </w:t>
      </w:r>
      <w:r w:rsidR="002228E6">
        <w:t>vanjskih</w:t>
      </w:r>
      <w:r w:rsidRPr="00DE2A1F">
        <w:t xml:space="preserve"> izvora</w:t>
      </w:r>
      <w:r w:rsidR="002228E6">
        <w:t xml:space="preserve">, </w:t>
      </w:r>
      <w:r w:rsidR="00D13D34" w:rsidRPr="00DE2A1F">
        <w:t xml:space="preserve">većinom </w:t>
      </w:r>
      <w:r w:rsidRPr="00DE2A1F">
        <w:t>putem bespovratnih sredstava – potpora za financiranje kapitalnih investicija (odgođeno plaćanje troškova i prihod budućeg razdoblja).</w:t>
      </w:r>
    </w:p>
    <w:p w14:paraId="534CF8B0" w14:textId="77777777" w:rsidR="001456F0" w:rsidRPr="009013E3" w:rsidRDefault="001456F0" w:rsidP="00A02495">
      <w:pPr>
        <w:rPr>
          <w:highlight w:val="magenta"/>
        </w:rPr>
      </w:pPr>
    </w:p>
    <w:p w14:paraId="4AED61BC" w14:textId="18160697" w:rsidR="001456F0" w:rsidRPr="00DE2A1F" w:rsidRDefault="00242626" w:rsidP="00A02495">
      <w:r w:rsidRPr="00DE2A1F">
        <w:t xml:space="preserve">Trajanje naplate potraživanja u danima je </w:t>
      </w:r>
      <w:r w:rsidR="00EF7E47" w:rsidRPr="00DE2A1F">
        <w:t>smanjeno</w:t>
      </w:r>
      <w:r w:rsidRPr="00DE2A1F">
        <w:t xml:space="preserve"> za </w:t>
      </w:r>
      <w:r w:rsidR="00DE2A1F" w:rsidRPr="00DE2A1F">
        <w:t>2</w:t>
      </w:r>
      <w:r w:rsidRPr="00DE2A1F">
        <w:t xml:space="preserve"> dana u odnosu na 31.12.20</w:t>
      </w:r>
      <w:r w:rsidR="00EF7E47" w:rsidRPr="00DE2A1F">
        <w:t>2</w:t>
      </w:r>
      <w:r w:rsidR="00DE2A1F" w:rsidRPr="00DE2A1F">
        <w:t>3</w:t>
      </w:r>
      <w:r w:rsidRPr="00DE2A1F">
        <w:t xml:space="preserve">. godine. </w:t>
      </w:r>
    </w:p>
    <w:p w14:paraId="0FCB556C" w14:textId="77777777" w:rsidR="001456F0" w:rsidRPr="009013E3" w:rsidRDefault="001456F0" w:rsidP="00A02495">
      <w:pPr>
        <w:rPr>
          <w:highlight w:val="magenta"/>
        </w:rPr>
      </w:pPr>
    </w:p>
    <w:p w14:paraId="0698C7D6" w14:textId="04FD35B2" w:rsidR="00EF7E47" w:rsidRPr="00DE2A1F" w:rsidRDefault="00EF7E47" w:rsidP="00A02495">
      <w:r w:rsidRPr="00DE2A1F">
        <w:t xml:space="preserve">Pokazatelj ekonomičnosti poslovanja  (poslovni prihodi / poslovni rashodi) je </w:t>
      </w:r>
      <w:r w:rsidR="00801A54" w:rsidRPr="00DE2A1F">
        <w:t>0,9</w:t>
      </w:r>
      <w:r w:rsidR="00DE2A1F" w:rsidRPr="00DE2A1F">
        <w:t>6</w:t>
      </w:r>
      <w:r w:rsidRPr="00DE2A1F">
        <w:t xml:space="preserve"> </w:t>
      </w:r>
      <w:r w:rsidR="00801A54" w:rsidRPr="00DE2A1F">
        <w:t>a</w:t>
      </w:r>
      <w:r w:rsidRPr="00DE2A1F">
        <w:t xml:space="preserve"> ekonomičnost financiranja (financijski prihodi / financijski rashodi)  iznosi </w:t>
      </w:r>
      <w:r w:rsidR="00DE2A1F" w:rsidRPr="00DE2A1F">
        <w:t>23,41</w:t>
      </w:r>
      <w:r w:rsidRPr="00DE2A1F">
        <w:t>.</w:t>
      </w:r>
    </w:p>
    <w:p w14:paraId="2E3707AD" w14:textId="77777777" w:rsidR="00683CCD" w:rsidRPr="009013E3" w:rsidRDefault="00683CCD" w:rsidP="00A02495">
      <w:pPr>
        <w:rPr>
          <w:highlight w:val="magenta"/>
        </w:rPr>
      </w:pPr>
    </w:p>
    <w:p w14:paraId="5C76794E" w14:textId="2ECC29F5" w:rsidR="001456F0" w:rsidRDefault="00DE638A" w:rsidP="00A02495">
      <w:r w:rsidRPr="00DE638A">
        <w:t>Kretanje pokazatelja profitabilnosti oko nulte razine posljedica je poslovnog modela usmjerenog na pokriće troškova, bez ostvarivanja dobiti</w:t>
      </w:r>
      <w:r w:rsidR="002228E6">
        <w:t>.</w:t>
      </w:r>
    </w:p>
    <w:p w14:paraId="48189594" w14:textId="77777777" w:rsidR="00242626" w:rsidRDefault="00242626" w:rsidP="00A02495"/>
    <w:p w14:paraId="722F2C59" w14:textId="77777777" w:rsidR="00242626" w:rsidRDefault="00242626" w:rsidP="00A02495"/>
    <w:p w14:paraId="16C54D84" w14:textId="77777777" w:rsidR="00E854A1" w:rsidRDefault="00E854A1" w:rsidP="00A02495"/>
    <w:p w14:paraId="2A3B8C1C" w14:textId="77777777" w:rsidR="00E854A1" w:rsidRDefault="00E854A1" w:rsidP="00A02495"/>
    <w:p w14:paraId="497AC8C4" w14:textId="77777777" w:rsidR="00E854A1" w:rsidRDefault="00E854A1" w:rsidP="00A02495"/>
    <w:p w14:paraId="0674E2B2" w14:textId="77777777" w:rsidR="00E854A1" w:rsidRDefault="00E854A1" w:rsidP="00A02495"/>
    <w:p w14:paraId="4D2971D3" w14:textId="77777777" w:rsidR="00E854A1" w:rsidRDefault="00E854A1" w:rsidP="00A02495"/>
    <w:p w14:paraId="4A00771B" w14:textId="77777777" w:rsidR="00E854A1" w:rsidRDefault="00E854A1" w:rsidP="00A02495"/>
    <w:p w14:paraId="0EE61D47" w14:textId="77777777" w:rsidR="00E854A1" w:rsidRDefault="00E854A1" w:rsidP="00A02495"/>
    <w:p w14:paraId="2CFDF7CC" w14:textId="77777777" w:rsidR="00E854A1" w:rsidRDefault="00E854A1" w:rsidP="00A02495"/>
    <w:p w14:paraId="26182022" w14:textId="77777777" w:rsidR="00E854A1" w:rsidRDefault="00E854A1" w:rsidP="00A02495"/>
    <w:p w14:paraId="069575B9" w14:textId="77777777" w:rsidR="004D2A2E" w:rsidRDefault="004D2A2E" w:rsidP="004D2A2E">
      <w:pPr>
        <w:pStyle w:val="Standard"/>
        <w:pageBreakBefore/>
        <w:spacing w:after="0"/>
        <w:rPr>
          <w:rFonts w:ascii="Cambria" w:hAnsi="Cambria" w:cs="Arial"/>
          <w:b/>
          <w:color w:val="262626"/>
          <w:szCs w:val="18"/>
        </w:rPr>
      </w:pPr>
      <w:r>
        <w:rPr>
          <w:rFonts w:ascii="Cambria" w:hAnsi="Cambria" w:cs="Arial"/>
          <w:b/>
          <w:color w:val="262626"/>
          <w:szCs w:val="18"/>
        </w:rPr>
        <w:lastRenderedPageBreak/>
        <w:t>Izvještaj 6.</w:t>
      </w:r>
    </w:p>
    <w:p w14:paraId="2ED1E49E" w14:textId="77777777" w:rsidR="004D2A2E" w:rsidRDefault="004D2A2E" w:rsidP="004D2A2E">
      <w:pPr>
        <w:pStyle w:val="Standard"/>
        <w:pBdr>
          <w:bottom w:val="single" w:sz="18" w:space="1" w:color="000080"/>
        </w:pBdr>
        <w:spacing w:after="0" w:line="360" w:lineRule="auto"/>
        <w:rPr>
          <w:rFonts w:ascii="Cambria" w:hAnsi="Cambria" w:cs="Arial"/>
          <w:b/>
          <w:color w:val="262626"/>
          <w:sz w:val="40"/>
          <w:szCs w:val="26"/>
        </w:rPr>
      </w:pPr>
      <w:r>
        <w:rPr>
          <w:rFonts w:ascii="Cambria" w:hAnsi="Cambria" w:cs="Arial"/>
          <w:b/>
          <w:color w:val="262626"/>
          <w:sz w:val="40"/>
          <w:szCs w:val="26"/>
        </w:rPr>
        <w:t>REALIZACIJA PLANA POSLOVANJA</w:t>
      </w:r>
    </w:p>
    <w:p w14:paraId="453C53E5" w14:textId="77777777" w:rsidR="004D2A2E" w:rsidRDefault="004D2A2E" w:rsidP="004D2A2E">
      <w:pPr>
        <w:pStyle w:val="Standard"/>
        <w:spacing w:after="0"/>
        <w:rPr>
          <w:rFonts w:ascii="Cambria" w:hAnsi="Cambria" w:cs="Arial"/>
          <w:b/>
          <w:color w:val="17365D"/>
        </w:rPr>
      </w:pPr>
    </w:p>
    <w:p w14:paraId="366B5182" w14:textId="77777777" w:rsidR="004D2A2E" w:rsidRDefault="004D2A2E" w:rsidP="00A02495"/>
    <w:tbl>
      <w:tblPr>
        <w:tblW w:w="5000" w:type="pct"/>
        <w:tblLayout w:type="fixed"/>
        <w:tblCellMar>
          <w:left w:w="10" w:type="dxa"/>
          <w:right w:w="10" w:type="dxa"/>
        </w:tblCellMar>
        <w:tblLook w:val="04A0" w:firstRow="1" w:lastRow="0" w:firstColumn="1" w:lastColumn="0" w:noHBand="0" w:noVBand="1"/>
      </w:tblPr>
      <w:tblGrid>
        <w:gridCol w:w="9072"/>
      </w:tblGrid>
      <w:tr w:rsidR="004D2A2E" w14:paraId="23B2F7EC" w14:textId="77777777" w:rsidTr="006C7AA7">
        <w:trPr>
          <w:trHeight w:val="397"/>
        </w:trPr>
        <w:tc>
          <w:tcPr>
            <w:tcW w:w="9854" w:type="dxa"/>
            <w:shd w:val="clear" w:color="auto" w:fill="E7E7FF"/>
            <w:tcMar>
              <w:top w:w="0" w:type="dxa"/>
              <w:left w:w="108" w:type="dxa"/>
              <w:bottom w:w="0" w:type="dxa"/>
              <w:right w:w="108" w:type="dxa"/>
            </w:tcMar>
            <w:vAlign w:val="center"/>
          </w:tcPr>
          <w:p w14:paraId="4E22AF7C" w14:textId="77777777" w:rsidR="004D2A2E" w:rsidRDefault="004D2A2E" w:rsidP="006C7AA7">
            <w:pPr>
              <w:pStyle w:val="Standard"/>
              <w:spacing w:after="0"/>
              <w:rPr>
                <w:rFonts w:ascii="Cambria" w:hAnsi="Cambria" w:cs="Arial"/>
                <w:b/>
                <w:color w:val="262626"/>
                <w:lang w:eastAsia="en-US"/>
              </w:rPr>
            </w:pPr>
            <w:r>
              <w:rPr>
                <w:rFonts w:ascii="Cambria" w:hAnsi="Cambria" w:cs="Arial"/>
                <w:b/>
                <w:color w:val="262626"/>
                <w:lang w:eastAsia="en-US"/>
              </w:rPr>
              <w:t>Realizacija plana prihoda i rashoda</w:t>
            </w:r>
          </w:p>
        </w:tc>
      </w:tr>
    </w:tbl>
    <w:p w14:paraId="23DDE457" w14:textId="77777777" w:rsidR="004D2A2E" w:rsidRDefault="004D2A2E" w:rsidP="004D2A2E">
      <w:pPr>
        <w:pStyle w:val="Standard"/>
        <w:tabs>
          <w:tab w:val="left" w:pos="420"/>
          <w:tab w:val="center" w:pos="4536"/>
          <w:tab w:val="right" w:pos="9072"/>
        </w:tabs>
        <w:spacing w:after="0"/>
        <w:jc w:val="both"/>
        <w:rPr>
          <w:rFonts w:ascii="Cambria" w:hAnsi="Cambria"/>
          <w:sz w:val="22"/>
          <w:szCs w:val="22"/>
        </w:rPr>
      </w:pPr>
    </w:p>
    <w:p w14:paraId="2F4212D2" w14:textId="53086E29" w:rsidR="00DE638A" w:rsidRDefault="00DE638A" w:rsidP="00A02495">
      <w:r w:rsidRPr="00DE638A">
        <w:t>Prihodi koji su realizirani tijekom 2024. godine veći su u odnosu na postavljeni plan</w:t>
      </w:r>
      <w:r>
        <w:t xml:space="preserve"> za 5%</w:t>
      </w:r>
      <w:r w:rsidR="00C461AB">
        <w:t>. Povećanje je evidentirano u okviru svih skupina prihoda, a ponajprije u okviru prihoda od prodaje proizvoda i usluga.</w:t>
      </w:r>
    </w:p>
    <w:p w14:paraId="7A147F51" w14:textId="77777777" w:rsidR="00DE638A" w:rsidRPr="00DE638A" w:rsidRDefault="00DE638A" w:rsidP="00A02495"/>
    <w:p w14:paraId="5D98F210" w14:textId="0DA5D965" w:rsidR="003931FB" w:rsidRPr="00C461AB" w:rsidRDefault="00C461AB" w:rsidP="00A02495">
      <w:r w:rsidRPr="00C461AB">
        <w:t>Rashodi su također premašili planirane vrijednosti za 5%, prvenstveno kao rezultat povećanja troškova osoblja</w:t>
      </w:r>
      <w:r>
        <w:t xml:space="preserve">, troškova amortizacije, </w:t>
      </w:r>
      <w:r w:rsidRPr="00C461AB">
        <w:t>materijalnih troškova</w:t>
      </w:r>
      <w:r>
        <w:t xml:space="preserve"> i ostalih troškova poslovanja</w:t>
      </w:r>
      <w:r w:rsidRPr="00C461AB">
        <w:t>.</w:t>
      </w:r>
    </w:p>
    <w:p w14:paraId="6EBAA37C" w14:textId="77777777" w:rsidR="00C461AB" w:rsidRDefault="00C461AB" w:rsidP="00A02495">
      <w:pPr>
        <w:rPr>
          <w:highlight w:val="magenta"/>
        </w:rPr>
      </w:pPr>
    </w:p>
    <w:p w14:paraId="06FDD2E0" w14:textId="77777777" w:rsidR="000F14A1" w:rsidRDefault="000F14A1" w:rsidP="00A02495"/>
    <w:tbl>
      <w:tblPr>
        <w:tblW w:w="5000" w:type="pct"/>
        <w:tblLayout w:type="fixed"/>
        <w:tblCellMar>
          <w:left w:w="10" w:type="dxa"/>
          <w:right w:w="10" w:type="dxa"/>
        </w:tblCellMar>
        <w:tblLook w:val="04A0" w:firstRow="1" w:lastRow="0" w:firstColumn="1" w:lastColumn="0" w:noHBand="0" w:noVBand="1"/>
      </w:tblPr>
      <w:tblGrid>
        <w:gridCol w:w="9072"/>
      </w:tblGrid>
      <w:tr w:rsidR="000F14A1" w14:paraId="67DE1913" w14:textId="77777777" w:rsidTr="00D84CFE">
        <w:trPr>
          <w:trHeight w:val="397"/>
        </w:trPr>
        <w:tc>
          <w:tcPr>
            <w:tcW w:w="9854" w:type="dxa"/>
            <w:shd w:val="clear" w:color="auto" w:fill="E7E7FF"/>
            <w:tcMar>
              <w:top w:w="0" w:type="dxa"/>
              <w:left w:w="108" w:type="dxa"/>
              <w:bottom w:w="0" w:type="dxa"/>
              <w:right w:w="108" w:type="dxa"/>
            </w:tcMar>
            <w:vAlign w:val="center"/>
          </w:tcPr>
          <w:p w14:paraId="528F8B41" w14:textId="77777777" w:rsidR="000F14A1" w:rsidRDefault="000F14A1" w:rsidP="000F14A1">
            <w:pPr>
              <w:pStyle w:val="Standard"/>
              <w:spacing w:after="0"/>
              <w:rPr>
                <w:rFonts w:ascii="Cambria" w:hAnsi="Cambria" w:cs="Arial"/>
                <w:b/>
                <w:color w:val="262626"/>
                <w:lang w:eastAsia="en-US"/>
              </w:rPr>
            </w:pPr>
            <w:r>
              <w:rPr>
                <w:rFonts w:ascii="Cambria" w:hAnsi="Cambria" w:cs="Arial"/>
                <w:b/>
                <w:color w:val="262626"/>
                <w:lang w:eastAsia="en-US"/>
              </w:rPr>
              <w:t>Realizacija plana dodatnih podataka</w:t>
            </w:r>
          </w:p>
        </w:tc>
      </w:tr>
    </w:tbl>
    <w:p w14:paraId="4E74CD49" w14:textId="77777777" w:rsidR="000F14A1" w:rsidRDefault="000F14A1" w:rsidP="000F14A1">
      <w:pPr>
        <w:pStyle w:val="Standard"/>
        <w:tabs>
          <w:tab w:val="left" w:pos="420"/>
          <w:tab w:val="center" w:pos="4536"/>
          <w:tab w:val="right" w:pos="9072"/>
        </w:tabs>
        <w:spacing w:after="0"/>
        <w:jc w:val="both"/>
        <w:rPr>
          <w:rFonts w:ascii="Cambria" w:hAnsi="Cambria"/>
          <w:sz w:val="22"/>
          <w:szCs w:val="22"/>
        </w:rPr>
      </w:pPr>
    </w:p>
    <w:p w14:paraId="71F44C1F" w14:textId="27052156" w:rsidR="003931FB" w:rsidRPr="001078CB" w:rsidRDefault="00A83131" w:rsidP="00A02495">
      <w:r w:rsidRPr="001078CB">
        <w:t>Na dan 31.12.202</w:t>
      </w:r>
      <w:r w:rsidR="00C461AB" w:rsidRPr="001078CB">
        <w:t>4</w:t>
      </w:r>
      <w:r w:rsidRPr="001078CB">
        <w:t xml:space="preserve">. godine </w:t>
      </w:r>
      <w:r w:rsidR="003931FB" w:rsidRPr="001078CB">
        <w:t xml:space="preserve">Društvo </w:t>
      </w:r>
      <w:r w:rsidR="00C461AB" w:rsidRPr="001078CB">
        <w:t>je imalo 231 zaposlenih, dok je planirano 230.</w:t>
      </w:r>
    </w:p>
    <w:p w14:paraId="441942F6" w14:textId="77777777" w:rsidR="003931FB" w:rsidRPr="009013E3" w:rsidRDefault="003931FB" w:rsidP="00A02495">
      <w:pPr>
        <w:rPr>
          <w:highlight w:val="magenta"/>
        </w:rPr>
      </w:pPr>
    </w:p>
    <w:p w14:paraId="182AC165" w14:textId="16CAF97A" w:rsidR="003931FB" w:rsidRPr="001078CB" w:rsidRDefault="003931FB" w:rsidP="00A02495">
      <w:r w:rsidRPr="001078CB">
        <w:t>Investicije bilježe m</w:t>
      </w:r>
      <w:r w:rsidR="00F12124" w:rsidRPr="001078CB">
        <w:t>anje ostvarenje od planiranog (</w:t>
      </w:r>
      <w:r w:rsidR="00A91F65" w:rsidRPr="001078CB">
        <w:t>2</w:t>
      </w:r>
      <w:r w:rsidR="00C461AB" w:rsidRPr="001078CB">
        <w:t>3</w:t>
      </w:r>
      <w:r w:rsidR="00096AA5" w:rsidRPr="001078CB">
        <w:t>%-no ostvarenje plana)</w:t>
      </w:r>
      <w:r w:rsidR="004073E9" w:rsidRPr="001078CB">
        <w:t>, prvenstv</w:t>
      </w:r>
      <w:r w:rsidR="00A91F65" w:rsidRPr="001078CB">
        <w:t>e</w:t>
      </w:r>
      <w:r w:rsidR="004073E9" w:rsidRPr="001078CB">
        <w:t xml:space="preserve">no zbog usklađenja projekata </w:t>
      </w:r>
      <w:r w:rsidR="002228E6">
        <w:t>aglomeracije</w:t>
      </w:r>
      <w:r w:rsidR="004073E9" w:rsidRPr="001078CB">
        <w:t xml:space="preserve"> Pula-centar</w:t>
      </w:r>
      <w:r w:rsidR="001078CB" w:rsidRPr="001078CB">
        <w:t>. Projekt Pula Sjever je pokrenut, međutim dinamika je sporija od planiranog.</w:t>
      </w:r>
      <w:r w:rsidR="004073E9" w:rsidRPr="001078CB">
        <w:t xml:space="preserve"> </w:t>
      </w:r>
      <w:r w:rsidRPr="001078CB">
        <w:t>Manje ostvarenje investicija prati i manje ostvarenje izvora financiranja istih.</w:t>
      </w:r>
      <w:r w:rsidR="004073E9" w:rsidRPr="001078CB">
        <w:t xml:space="preserve"> </w:t>
      </w:r>
    </w:p>
    <w:p w14:paraId="3B49F3FE" w14:textId="77777777" w:rsidR="003931FB" w:rsidRPr="009013E3" w:rsidRDefault="003931FB" w:rsidP="00A02495">
      <w:pPr>
        <w:rPr>
          <w:highlight w:val="magenta"/>
        </w:rPr>
      </w:pPr>
    </w:p>
    <w:p w14:paraId="1D4D4F5A" w14:textId="7AB0F85F" w:rsidR="001078CB" w:rsidRPr="001078CB" w:rsidRDefault="001078CB" w:rsidP="00A02495">
      <w:r w:rsidRPr="001078CB">
        <w:t>Sve skupine poslovnih prihoda izuzev prihoda od prihvata i pročišćavanja fekalnih voda, prihoda od ispitivanja i kontrole kanalizacijskog sustava, te ostalih prihoda s osnove usluge odvodnje bilježe veće ostvarenje od planiranog. Prihod od prodaje vode domaćinstvima bilježi 1%-no povećanje, prihod od prodaje vode gospodarskom sektoru 5%-no povećanje.</w:t>
      </w:r>
    </w:p>
    <w:p w14:paraId="460E62BE" w14:textId="77777777" w:rsidR="001078CB" w:rsidRDefault="001078CB" w:rsidP="00A02495">
      <w:pPr>
        <w:rPr>
          <w:highlight w:val="magenta"/>
        </w:rPr>
      </w:pPr>
    </w:p>
    <w:p w14:paraId="595105AB" w14:textId="61FA4320" w:rsidR="005D633D" w:rsidRPr="001078CB" w:rsidRDefault="005D633D" w:rsidP="00A02495">
      <w:r w:rsidRPr="001078CB">
        <w:t xml:space="preserve">Zahvaćena i crpljena voda je </w:t>
      </w:r>
      <w:r w:rsidR="003D16C2" w:rsidRPr="001078CB">
        <w:t>veća za 1% u odnosu na plan</w:t>
      </w:r>
      <w:r w:rsidRPr="001078CB">
        <w:t xml:space="preserve">, </w:t>
      </w:r>
      <w:r w:rsidR="00693E35">
        <w:t>a</w:t>
      </w:r>
      <w:r w:rsidRPr="001078CB">
        <w:t xml:space="preserve"> isporučena voda </w:t>
      </w:r>
      <w:r w:rsidR="00A83131" w:rsidRPr="001078CB">
        <w:t xml:space="preserve">je </w:t>
      </w:r>
      <w:r w:rsidR="003D16C2" w:rsidRPr="001078CB">
        <w:t xml:space="preserve">za </w:t>
      </w:r>
      <w:r w:rsidR="001078CB" w:rsidRPr="001078CB">
        <w:t>2</w:t>
      </w:r>
      <w:r w:rsidR="003D16C2" w:rsidRPr="001078CB">
        <w:t>% veća od  planirane</w:t>
      </w:r>
      <w:r w:rsidR="00A83131" w:rsidRPr="001078CB">
        <w:t xml:space="preserve"> veličin</w:t>
      </w:r>
      <w:r w:rsidR="003D16C2" w:rsidRPr="001078CB">
        <w:t>e</w:t>
      </w:r>
      <w:r w:rsidRPr="001078CB">
        <w:t>.</w:t>
      </w:r>
    </w:p>
    <w:p w14:paraId="145362F1" w14:textId="77777777" w:rsidR="005D633D" w:rsidRPr="009013E3" w:rsidRDefault="005D633D" w:rsidP="00A02495">
      <w:pPr>
        <w:rPr>
          <w:highlight w:val="magenta"/>
        </w:rPr>
      </w:pPr>
    </w:p>
    <w:p w14:paraId="4842EBDD" w14:textId="071E539C" w:rsidR="00BA4D54" w:rsidRPr="00176574" w:rsidRDefault="005D633D" w:rsidP="00A02495">
      <w:r w:rsidRPr="00BA4D54">
        <w:t>Gubitak vode u m</w:t>
      </w:r>
      <w:r w:rsidRPr="00BA4D54">
        <w:rPr>
          <w:vertAlign w:val="superscript"/>
        </w:rPr>
        <w:t>3</w:t>
      </w:r>
      <w:r w:rsidRPr="00BA4D54">
        <w:t xml:space="preserve"> kao i gubitak vode u % bilježe </w:t>
      </w:r>
      <w:r w:rsidR="00BA4D54" w:rsidRPr="00BA4D54">
        <w:t xml:space="preserve">bolje </w:t>
      </w:r>
      <w:r w:rsidRPr="00BA4D54">
        <w:t xml:space="preserve">ostvarenje </w:t>
      </w:r>
      <w:r w:rsidR="00BA4D54" w:rsidRPr="00BA4D54">
        <w:t xml:space="preserve">u odnosu na planirane vrijednosti. </w:t>
      </w:r>
      <w:r w:rsidR="00176574">
        <w:t>Gubitak vode iznosi 1.448.417 m</w:t>
      </w:r>
      <w:r w:rsidR="00176574" w:rsidRPr="00176574">
        <w:rPr>
          <w:vertAlign w:val="superscript"/>
        </w:rPr>
        <w:t>3</w:t>
      </w:r>
      <w:r w:rsidR="00176574">
        <w:t xml:space="preserve"> što je za 6% manje u odnosu na postavljeni plan. Gubitak vode izražen kao udio zahvaćene i crpljene vode iznosi 16%, što je za jedan postotni bod bolje od postavljenog plana.</w:t>
      </w:r>
    </w:p>
    <w:p w14:paraId="5D206308" w14:textId="77777777" w:rsidR="00530CC9" w:rsidRPr="007229CE" w:rsidRDefault="00530CC9" w:rsidP="00A02495"/>
    <w:p w14:paraId="3E84234A" w14:textId="77777777" w:rsidR="00530CC9" w:rsidRPr="007229CE" w:rsidRDefault="00530CC9" w:rsidP="00A02495"/>
    <w:p w14:paraId="6E4AB19C" w14:textId="77777777" w:rsidR="00530CC9" w:rsidRPr="007229CE" w:rsidRDefault="00530CC9" w:rsidP="00A02495"/>
    <w:p w14:paraId="428CA4CF" w14:textId="77777777" w:rsidR="00530CC9" w:rsidRPr="007229CE" w:rsidRDefault="00530CC9" w:rsidP="00A02495"/>
    <w:p w14:paraId="289B6BD9" w14:textId="77777777" w:rsidR="00530CC9" w:rsidRPr="007229CE" w:rsidRDefault="00530CC9" w:rsidP="00A02495"/>
    <w:p w14:paraId="6D8524B8" w14:textId="77777777" w:rsidR="00530CC9" w:rsidRPr="007229CE" w:rsidRDefault="00530CC9" w:rsidP="00A02495"/>
    <w:p w14:paraId="27DE8C39" w14:textId="77777777" w:rsidR="00530CC9" w:rsidRPr="007229CE" w:rsidRDefault="00530CC9" w:rsidP="00A02495"/>
    <w:p w14:paraId="1FB63768" w14:textId="77777777" w:rsidR="00530CC9" w:rsidRPr="007229CE" w:rsidRDefault="00530CC9" w:rsidP="00A02495"/>
    <w:p w14:paraId="2C785C4F" w14:textId="77777777" w:rsidR="00530CC9" w:rsidRPr="007229CE" w:rsidRDefault="00530CC9" w:rsidP="00A02495"/>
    <w:p w14:paraId="207A2023" w14:textId="77777777" w:rsidR="00530CC9" w:rsidRPr="007229CE" w:rsidRDefault="00530CC9" w:rsidP="00A02495"/>
    <w:p w14:paraId="082FA59A" w14:textId="77777777" w:rsidR="00530CC9" w:rsidRPr="007229CE" w:rsidRDefault="00530CC9" w:rsidP="00A02495"/>
    <w:p w14:paraId="26F0B1FB" w14:textId="77777777" w:rsidR="00530CC9" w:rsidRPr="007229CE" w:rsidRDefault="00530CC9" w:rsidP="00A02495"/>
    <w:p w14:paraId="7AE8A406" w14:textId="77777777" w:rsidR="00530CC9" w:rsidRPr="007229CE" w:rsidRDefault="00530CC9" w:rsidP="00A02495"/>
    <w:p w14:paraId="49E98313" w14:textId="77777777" w:rsidR="00530CC9" w:rsidRPr="007229CE" w:rsidRDefault="00530CC9" w:rsidP="00A02495"/>
    <w:p w14:paraId="1E564459" w14:textId="77777777" w:rsidR="00530CC9" w:rsidRPr="007229CE" w:rsidRDefault="00530CC9" w:rsidP="00A02495"/>
    <w:p w14:paraId="6E88D901" w14:textId="77777777" w:rsidR="00530CC9" w:rsidRPr="007229CE" w:rsidRDefault="00530CC9" w:rsidP="00A02495"/>
    <w:p w14:paraId="12F9F0EE" w14:textId="77777777" w:rsidR="00530CC9" w:rsidRPr="007229CE" w:rsidRDefault="00530CC9" w:rsidP="00A02495"/>
    <w:p w14:paraId="199C8DCA" w14:textId="77777777" w:rsidR="00530CC9" w:rsidRDefault="00B20D3B" w:rsidP="00A02495">
      <w:r w:rsidRPr="007229CE">
        <w:tab/>
      </w:r>
      <w:r w:rsidRPr="007229CE">
        <w:tab/>
      </w:r>
      <w:r w:rsidRPr="007229CE">
        <w:tab/>
      </w:r>
    </w:p>
    <w:p w14:paraId="25F8421F" w14:textId="77777777" w:rsidR="00FF03FD" w:rsidRPr="007229CE" w:rsidRDefault="00FF03FD" w:rsidP="00A02495"/>
    <w:p w14:paraId="400D5A88" w14:textId="77777777" w:rsidR="00530CC9" w:rsidRPr="005F19FA" w:rsidRDefault="00530CC9" w:rsidP="00A02495"/>
    <w:p w14:paraId="5B56E0E1" w14:textId="77777777" w:rsidR="00F76A4D" w:rsidRDefault="00F76A4D" w:rsidP="00A02495"/>
    <w:p w14:paraId="2EFE10E6" w14:textId="77777777" w:rsidR="00F76A4D" w:rsidRDefault="00F76A4D" w:rsidP="00A02495"/>
    <w:p w14:paraId="63DB1661" w14:textId="77777777" w:rsidR="00F24AA8" w:rsidRDefault="00F24AA8" w:rsidP="00A02495"/>
    <w:p w14:paraId="66F6645F" w14:textId="77777777" w:rsidR="00F24AA8" w:rsidRDefault="00F24AA8" w:rsidP="00A02495"/>
    <w:p w14:paraId="15758840" w14:textId="77777777" w:rsidR="00F24AA8" w:rsidRDefault="00F24AA8" w:rsidP="00A02495"/>
    <w:p w14:paraId="58F8BCC4" w14:textId="77777777" w:rsidR="00F76A4D" w:rsidRDefault="00F76A4D" w:rsidP="00A02495"/>
    <w:p w14:paraId="596E89E9" w14:textId="77777777" w:rsidR="00F76A4D" w:rsidRDefault="00F76A4D" w:rsidP="00A02495"/>
    <w:p w14:paraId="00ADA044" w14:textId="77777777" w:rsidR="00F76A4D" w:rsidRDefault="00F76A4D" w:rsidP="00A02495"/>
    <w:p w14:paraId="1FEA0468" w14:textId="77777777" w:rsidR="004D2A2E" w:rsidRDefault="004D2A2E" w:rsidP="004D2A2E">
      <w:pPr>
        <w:pStyle w:val="Standard"/>
        <w:tabs>
          <w:tab w:val="left" w:pos="4678"/>
        </w:tabs>
        <w:spacing w:after="0" w:line="240" w:lineRule="auto"/>
        <w:rPr>
          <w:rFonts w:ascii="Cambria" w:hAnsi="Cambria"/>
          <w:color w:val="262626"/>
        </w:rPr>
      </w:pPr>
    </w:p>
    <w:p w14:paraId="6FB7C9FE" w14:textId="77777777" w:rsidR="004D2A2E" w:rsidRDefault="004D2A2E" w:rsidP="004D2A2E">
      <w:pPr>
        <w:pStyle w:val="Standard"/>
        <w:tabs>
          <w:tab w:val="left" w:pos="4678"/>
        </w:tabs>
        <w:spacing w:after="0" w:line="240" w:lineRule="auto"/>
        <w:rPr>
          <w:rFonts w:ascii="Cambria" w:hAnsi="Cambria"/>
          <w:color w:val="262626"/>
        </w:rPr>
      </w:pPr>
    </w:p>
    <w:p w14:paraId="78CD1429" w14:textId="77777777" w:rsidR="004D2A2E" w:rsidRDefault="004D2A2E" w:rsidP="004D2A2E">
      <w:pPr>
        <w:pStyle w:val="Standard"/>
        <w:tabs>
          <w:tab w:val="left" w:pos="4678"/>
        </w:tabs>
        <w:spacing w:after="0" w:line="240" w:lineRule="auto"/>
        <w:rPr>
          <w:rFonts w:ascii="Cambria" w:hAnsi="Cambria"/>
          <w:color w:val="262626"/>
        </w:rPr>
      </w:pPr>
    </w:p>
    <w:p w14:paraId="6E8B6D4A" w14:textId="1318B0B1" w:rsidR="004D2A2E" w:rsidRPr="00C01E97" w:rsidRDefault="004D2A2E" w:rsidP="004D2A2E">
      <w:pPr>
        <w:pStyle w:val="Standard"/>
        <w:tabs>
          <w:tab w:val="left" w:pos="4678"/>
        </w:tabs>
        <w:spacing w:after="0" w:line="240" w:lineRule="auto"/>
        <w:rPr>
          <w:rFonts w:ascii="Cambria" w:hAnsi="Cambria"/>
          <w:color w:val="262626"/>
          <w:sz w:val="56"/>
          <w:szCs w:val="56"/>
        </w:rPr>
      </w:pPr>
      <w:r w:rsidRPr="00C01E97">
        <w:rPr>
          <w:rFonts w:ascii="Cambria" w:hAnsi="Cambria"/>
          <w:color w:val="262626"/>
          <w:sz w:val="56"/>
          <w:szCs w:val="56"/>
        </w:rPr>
        <w:t>Odluk</w:t>
      </w:r>
      <w:r w:rsidR="003A532D">
        <w:rPr>
          <w:rFonts w:ascii="Cambria" w:hAnsi="Cambria"/>
          <w:color w:val="262626"/>
          <w:sz w:val="56"/>
          <w:szCs w:val="56"/>
        </w:rPr>
        <w:t>e</w:t>
      </w:r>
      <w:r w:rsidR="009F3E9F">
        <w:rPr>
          <w:rFonts w:ascii="Cambria" w:hAnsi="Cambria"/>
          <w:color w:val="262626"/>
          <w:sz w:val="56"/>
          <w:szCs w:val="56"/>
        </w:rPr>
        <w:t xml:space="preserve"> i prilozi</w:t>
      </w:r>
    </w:p>
    <w:sectPr w:rsidR="004D2A2E" w:rsidRPr="00C01E97" w:rsidSect="009D190E">
      <w:type w:val="continuous"/>
      <w:pgSz w:w="11906" w:h="16838"/>
      <w:pgMar w:top="1134"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932072" w14:textId="77777777" w:rsidR="00384376" w:rsidRDefault="00384376" w:rsidP="00A02495">
      <w:r>
        <w:separator/>
      </w:r>
    </w:p>
  </w:endnote>
  <w:endnote w:type="continuationSeparator" w:id="0">
    <w:p w14:paraId="659A990B" w14:textId="77777777" w:rsidR="00384376" w:rsidRDefault="00384376" w:rsidP="00A02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 w:name="Verdana, Bold">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6C330" w14:textId="77777777" w:rsidR="008F0047" w:rsidRPr="00F30C60" w:rsidRDefault="00B25645" w:rsidP="00F82AD5">
    <w:pPr>
      <w:pStyle w:val="Podnoje"/>
      <w:jc w:val="center"/>
    </w:pPr>
    <w:r w:rsidRPr="00F30C60">
      <w:fldChar w:fldCharType="begin"/>
    </w:r>
    <w:r w:rsidR="008F0047" w:rsidRPr="00F30C60">
      <w:instrText xml:space="preserve"> PAGE   \* MERGEFORMAT </w:instrText>
    </w:r>
    <w:r w:rsidRPr="00F30C60">
      <w:fldChar w:fldCharType="separate"/>
    </w:r>
    <w:r w:rsidR="009F3E9F">
      <w:rPr>
        <w:noProof/>
      </w:rPr>
      <w:t>14</w:t>
    </w:r>
    <w:r w:rsidRPr="00F30C60">
      <w:fldChar w:fldCharType="end"/>
    </w:r>
  </w:p>
  <w:p w14:paraId="033AD132" w14:textId="77777777" w:rsidR="008F0047" w:rsidRDefault="008F0047" w:rsidP="00A02495">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D83195" w14:textId="77777777" w:rsidR="00384376" w:rsidRDefault="00384376" w:rsidP="00A02495">
      <w:r>
        <w:separator/>
      </w:r>
    </w:p>
  </w:footnote>
  <w:footnote w:type="continuationSeparator" w:id="0">
    <w:p w14:paraId="0D00A263" w14:textId="77777777" w:rsidR="00384376" w:rsidRDefault="00384376" w:rsidP="00A02495">
      <w:r>
        <w:continuationSeparator/>
      </w:r>
    </w:p>
  </w:footnote>
  <w:footnote w:id="1">
    <w:p w14:paraId="5F09317D" w14:textId="77777777" w:rsidR="009D190E" w:rsidRDefault="009D190E" w:rsidP="009D190E">
      <w:pPr>
        <w:pStyle w:val="Tekstfusnote"/>
      </w:pPr>
      <w:r>
        <w:rPr>
          <w:rStyle w:val="Referencafusnote"/>
        </w:rPr>
        <w:footnoteRef/>
      </w:r>
      <w:r>
        <w:t xml:space="preserve"> </w:t>
      </w:r>
      <w:r w:rsidRPr="00E42A08">
        <w:rPr>
          <w:rFonts w:asciiTheme="majorHAnsi" w:hAnsiTheme="majorHAnsi"/>
          <w:i/>
          <w:iCs/>
          <w:sz w:val="18"/>
          <w:szCs w:val="18"/>
        </w:rPr>
        <w:t>Izvor: Plan sigurnosti vode</w:t>
      </w:r>
    </w:p>
  </w:footnote>
  <w:footnote w:id="2">
    <w:p w14:paraId="44843BED" w14:textId="5C9714D4" w:rsidR="00855013" w:rsidRDefault="00855013">
      <w:pPr>
        <w:pStyle w:val="Tekstfusnote"/>
      </w:pPr>
      <w:r w:rsidRPr="002032B4">
        <w:rPr>
          <w:rStyle w:val="Referencafusnote"/>
        </w:rPr>
        <w:footnoteRef/>
      </w:r>
      <w:r w:rsidRPr="002032B4">
        <w:t xml:space="preserve"> </w:t>
      </w:r>
      <w:r w:rsidRPr="002032B4">
        <w:rPr>
          <w:i/>
          <w:iCs/>
          <w:sz w:val="18"/>
          <w:szCs w:val="18"/>
        </w:rPr>
        <w:t xml:space="preserve">Investicije u sklopu Projekta Pula Sjever raspoređeni su prema udjelima s kojima Općine sudjeluju u projektu: </w:t>
      </w:r>
      <w:bookmarkStart w:id="4" w:name="_Hlk197493629"/>
      <w:r w:rsidRPr="002032B4">
        <w:rPr>
          <w:i/>
          <w:iCs/>
          <w:sz w:val="18"/>
          <w:szCs w:val="18"/>
        </w:rPr>
        <w:t>Vodnjan – 47,7%, Fažana – 35,5%, Pula – 16,8%.</w:t>
      </w:r>
      <w:bookmarkEnd w:id="4"/>
    </w:p>
  </w:footnote>
  <w:footnote w:id="3">
    <w:p w14:paraId="575ACEF3" w14:textId="77777777" w:rsidR="00872968" w:rsidRPr="002032B4" w:rsidRDefault="00872968" w:rsidP="00872968">
      <w:pPr>
        <w:pStyle w:val="Tekstfusnote"/>
      </w:pPr>
      <w:bookmarkStart w:id="5" w:name="_Hlk197493916"/>
      <w:bookmarkStart w:id="6" w:name="_Hlk197493917"/>
      <w:bookmarkStart w:id="7" w:name="_Hlk197493918"/>
      <w:bookmarkStart w:id="8" w:name="_Hlk197493919"/>
      <w:r w:rsidRPr="002032B4">
        <w:rPr>
          <w:rStyle w:val="Referencafusnote"/>
        </w:rPr>
        <w:footnoteRef/>
      </w:r>
      <w:r w:rsidRPr="002032B4">
        <w:t xml:space="preserve"> </w:t>
      </w:r>
      <w:r w:rsidRPr="002032B4">
        <w:rPr>
          <w:i/>
          <w:iCs/>
          <w:sz w:val="18"/>
          <w:szCs w:val="18"/>
        </w:rPr>
        <w:t>Investicije u sklopu Projekta Pula Sjever raspoređeni su prema udjelima s kojima Općine sudjeluju u projektu: Vodnjan – 47,7%, Fažana – 35,5%, Pula – 16,8%.</w:t>
      </w:r>
      <w:bookmarkEnd w:id="5"/>
      <w:bookmarkEnd w:id="6"/>
      <w:bookmarkEnd w:id="7"/>
      <w:bookmarkEnd w:id="8"/>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Reetkatablice"/>
      <w:tblW w:w="90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7649"/>
    </w:tblGrid>
    <w:tr w:rsidR="00960D36" w14:paraId="5BABC6D3" w14:textId="77777777" w:rsidTr="00960D36">
      <w:tc>
        <w:tcPr>
          <w:tcW w:w="1413" w:type="dxa"/>
          <w:vAlign w:val="center"/>
        </w:tcPr>
        <w:p w14:paraId="7CBEC40F" w14:textId="148B37A3" w:rsidR="00960D36" w:rsidRDefault="00960D36" w:rsidP="00960D36">
          <w:pPr>
            <w:pStyle w:val="Zaglavlje"/>
            <w:jc w:val="left"/>
          </w:pPr>
          <w:r>
            <w:rPr>
              <w:noProof/>
            </w:rPr>
            <w:drawing>
              <wp:inline distT="0" distB="0" distL="0" distR="0" wp14:anchorId="3BE21AA4" wp14:editId="6C24E8C8">
                <wp:extent cx="640080" cy="829310"/>
                <wp:effectExtent l="0" t="0" r="0" b="0"/>
                <wp:docPr id="759964853"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0080" cy="829310"/>
                        </a:xfrm>
                        <a:prstGeom prst="rect">
                          <a:avLst/>
                        </a:prstGeom>
                        <a:noFill/>
                      </pic:spPr>
                    </pic:pic>
                  </a:graphicData>
                </a:graphic>
              </wp:inline>
            </w:drawing>
          </w:r>
        </w:p>
      </w:tc>
      <w:tc>
        <w:tcPr>
          <w:tcW w:w="7649" w:type="dxa"/>
          <w:vAlign w:val="center"/>
        </w:tcPr>
        <w:p w14:paraId="67FDECDF" w14:textId="56270308" w:rsidR="00960D36" w:rsidRPr="009013E3" w:rsidRDefault="00960D36" w:rsidP="00960D36">
          <w:pPr>
            <w:jc w:val="center"/>
            <w:rPr>
              <w:rFonts w:ascii="Times New Roman" w:hAnsi="Times New Roman"/>
              <w:b/>
              <w:color w:val="333399"/>
              <w:sz w:val="52"/>
              <w:szCs w:val="52"/>
            </w:rPr>
          </w:pPr>
          <w:r w:rsidRPr="009013E3">
            <w:rPr>
              <w:rFonts w:ascii="Times New Roman" w:hAnsi="Times New Roman"/>
              <w:b/>
              <w:color w:val="333399"/>
              <w:sz w:val="52"/>
              <w:szCs w:val="52"/>
            </w:rPr>
            <w:t>VODOVOD PULA</w:t>
          </w:r>
          <w:r w:rsidR="007C25FB">
            <w:rPr>
              <w:rFonts w:ascii="Times New Roman" w:hAnsi="Times New Roman"/>
              <w:b/>
              <w:color w:val="333399"/>
              <w:sz w:val="52"/>
              <w:szCs w:val="52"/>
            </w:rPr>
            <w:t>-LABIN</w:t>
          </w:r>
          <w:r w:rsidRPr="009013E3">
            <w:rPr>
              <w:rFonts w:ascii="Times New Roman" w:hAnsi="Times New Roman"/>
              <w:b/>
              <w:color w:val="333399"/>
              <w:sz w:val="52"/>
              <w:szCs w:val="52"/>
            </w:rPr>
            <w:t xml:space="preserve"> d.o.o.</w:t>
          </w:r>
        </w:p>
        <w:p w14:paraId="13750A85" w14:textId="77777777" w:rsidR="00960D36" w:rsidRPr="005E0905" w:rsidRDefault="00960D36" w:rsidP="00960D36">
          <w:pPr>
            <w:jc w:val="center"/>
            <w:rPr>
              <w:rFonts w:ascii="Times New Roman" w:hAnsi="Times New Roman"/>
              <w:color w:val="333399"/>
            </w:rPr>
          </w:pPr>
          <w:r w:rsidRPr="005E0905">
            <w:rPr>
              <w:rFonts w:ascii="Times New Roman" w:hAnsi="Times New Roman"/>
              <w:color w:val="333399"/>
            </w:rPr>
            <w:t xml:space="preserve">za </w:t>
          </w:r>
          <w:r>
            <w:rPr>
              <w:rFonts w:ascii="Times New Roman" w:hAnsi="Times New Roman"/>
              <w:color w:val="333399"/>
            </w:rPr>
            <w:t>vodne usluge</w:t>
          </w:r>
        </w:p>
        <w:p w14:paraId="03E4F307" w14:textId="0C214C30" w:rsidR="00960D36" w:rsidRPr="009013E3" w:rsidRDefault="00960D36" w:rsidP="00960D36">
          <w:pPr>
            <w:jc w:val="center"/>
          </w:pPr>
          <w:r w:rsidRPr="005E0905">
            <w:rPr>
              <w:rFonts w:ascii="Times New Roman" w:hAnsi="Times New Roman"/>
              <w:b/>
              <w:color w:val="333399"/>
            </w:rPr>
            <w:t>52100 Pula, Radićeva 9</w:t>
          </w:r>
        </w:p>
      </w:tc>
    </w:tr>
  </w:tbl>
  <w:p w14:paraId="64B321F5" w14:textId="77777777" w:rsidR="00960D36" w:rsidRDefault="00960D36">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452BCA9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lika 1524511699" o:spid="_x0000_i1025" type="#_x0000_t75" style="width:13.5pt;height:13.5pt;visibility:visible;mso-wrap-style:square">
            <v:imagedata r:id="rId1" o:title=""/>
          </v:shape>
        </w:pict>
      </mc:Choice>
      <mc:Fallback>
        <w:drawing>
          <wp:inline distT="0" distB="0" distL="0" distR="0" wp14:anchorId="1A4056BF" wp14:editId="314C91B0">
            <wp:extent cx="171450" cy="171450"/>
            <wp:effectExtent l="0" t="0" r="0" b="0"/>
            <wp:docPr id="1524511699" name="Slika 15245116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mc:Fallback>
    </mc:AlternateContent>
  </w:numPicBullet>
  <w:abstractNum w:abstractNumId="0" w15:restartNumberingAfterBreak="0">
    <w:nsid w:val="08391752"/>
    <w:multiLevelType w:val="hybridMultilevel"/>
    <w:tmpl w:val="B76E9652"/>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8CA5E02"/>
    <w:multiLevelType w:val="hybridMultilevel"/>
    <w:tmpl w:val="CD00194C"/>
    <w:lvl w:ilvl="0" w:tplc="041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EF9185F"/>
    <w:multiLevelType w:val="hybridMultilevel"/>
    <w:tmpl w:val="7514073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26F6389"/>
    <w:multiLevelType w:val="hybridMultilevel"/>
    <w:tmpl w:val="91F2807A"/>
    <w:lvl w:ilvl="0" w:tplc="041A0005">
      <w:start w:val="1"/>
      <w:numFmt w:val="bullet"/>
      <w:lvlText w:val=""/>
      <w:lvlJc w:val="left"/>
      <w:pPr>
        <w:ind w:left="720" w:hanging="360"/>
      </w:pPr>
      <w:rPr>
        <w:rFonts w:ascii="Wingdings" w:hAnsi="Wingdings"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63E79DB"/>
    <w:multiLevelType w:val="hybridMultilevel"/>
    <w:tmpl w:val="B73CEA34"/>
    <w:lvl w:ilvl="0" w:tplc="041A0001">
      <w:start w:val="1"/>
      <w:numFmt w:val="bullet"/>
      <w:lvlText w:val=""/>
      <w:lvlJc w:val="left"/>
      <w:pPr>
        <w:ind w:left="360" w:hanging="360"/>
      </w:pPr>
      <w:rPr>
        <w:rFonts w:ascii="Symbol" w:hAnsi="Symbol" w:hint="default"/>
        <w:color w:val="auto"/>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6BD13AB"/>
    <w:multiLevelType w:val="hybridMultilevel"/>
    <w:tmpl w:val="5A6AFB52"/>
    <w:lvl w:ilvl="0" w:tplc="0622B0E8">
      <w:numFmt w:val="bullet"/>
      <w:lvlText w:val="-"/>
      <w:lvlJc w:val="left"/>
      <w:pPr>
        <w:ind w:left="720" w:hanging="360"/>
      </w:pPr>
      <w:rPr>
        <w:rFonts w:ascii="Cambria" w:eastAsia="Calibri" w:hAnsi="Cambria"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C830BF2"/>
    <w:multiLevelType w:val="hybridMultilevel"/>
    <w:tmpl w:val="1518803E"/>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7" w15:restartNumberingAfterBreak="0">
    <w:nsid w:val="1EBC54F4"/>
    <w:multiLevelType w:val="hybridMultilevel"/>
    <w:tmpl w:val="98383E3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24F926B9"/>
    <w:multiLevelType w:val="hybridMultilevel"/>
    <w:tmpl w:val="7B3C087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26861046"/>
    <w:multiLevelType w:val="hybridMultilevel"/>
    <w:tmpl w:val="095E9E3A"/>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0" w15:restartNumberingAfterBreak="0">
    <w:nsid w:val="2A4B3565"/>
    <w:multiLevelType w:val="hybridMultilevel"/>
    <w:tmpl w:val="4056800A"/>
    <w:lvl w:ilvl="0" w:tplc="041A0005">
      <w:start w:val="1"/>
      <w:numFmt w:val="bullet"/>
      <w:lvlText w:val=""/>
      <w:lvlJc w:val="left"/>
      <w:pPr>
        <w:ind w:left="1440" w:hanging="360"/>
      </w:pPr>
      <w:rPr>
        <w:rFonts w:ascii="Wingdings" w:hAnsi="Wingdings"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1" w15:restartNumberingAfterBreak="0">
    <w:nsid w:val="2A5F362F"/>
    <w:multiLevelType w:val="hybridMultilevel"/>
    <w:tmpl w:val="BE6EFD3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2DD20235"/>
    <w:multiLevelType w:val="hybridMultilevel"/>
    <w:tmpl w:val="4C5AA792"/>
    <w:lvl w:ilvl="0" w:tplc="041A0001">
      <w:start w:val="1"/>
      <w:numFmt w:val="bullet"/>
      <w:lvlText w:val=""/>
      <w:lvlJc w:val="left"/>
      <w:pPr>
        <w:ind w:left="360" w:hanging="360"/>
      </w:pPr>
      <w:rPr>
        <w:rFonts w:ascii="Symbol" w:hAnsi="Symbol" w:hint="default"/>
        <w:color w:val="auto"/>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339936CF"/>
    <w:multiLevelType w:val="hybridMultilevel"/>
    <w:tmpl w:val="9F3429A6"/>
    <w:lvl w:ilvl="0" w:tplc="041A0005">
      <w:start w:val="1"/>
      <w:numFmt w:val="bullet"/>
      <w:lvlText w:val=""/>
      <w:lvlJc w:val="left"/>
      <w:pPr>
        <w:ind w:left="360" w:hanging="360"/>
      </w:pPr>
      <w:rPr>
        <w:rFonts w:ascii="Wingdings" w:hAnsi="Wingdings" w:hint="default"/>
        <w:color w:val="auto"/>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4" w15:restartNumberingAfterBreak="0">
    <w:nsid w:val="463A62E1"/>
    <w:multiLevelType w:val="hybridMultilevel"/>
    <w:tmpl w:val="22568194"/>
    <w:lvl w:ilvl="0" w:tplc="041A0001">
      <w:start w:val="1"/>
      <w:numFmt w:val="bullet"/>
      <w:lvlText w:val=""/>
      <w:lvlJc w:val="left"/>
      <w:pPr>
        <w:ind w:left="360" w:hanging="360"/>
      </w:pPr>
      <w:rPr>
        <w:rFonts w:ascii="Symbol" w:hAnsi="Symbol" w:hint="default"/>
        <w:color w:val="auto"/>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4ACB0CA0"/>
    <w:multiLevelType w:val="hybridMultilevel"/>
    <w:tmpl w:val="0732743A"/>
    <w:lvl w:ilvl="0" w:tplc="041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6067E40"/>
    <w:multiLevelType w:val="hybridMultilevel"/>
    <w:tmpl w:val="7CCE4B72"/>
    <w:lvl w:ilvl="0" w:tplc="041A0001">
      <w:start w:val="1"/>
      <w:numFmt w:val="bullet"/>
      <w:lvlText w:val=""/>
      <w:lvlJc w:val="left"/>
      <w:pPr>
        <w:ind w:left="360" w:hanging="360"/>
      </w:pPr>
      <w:rPr>
        <w:rFonts w:ascii="Symbol" w:hAnsi="Symbol" w:hint="default"/>
        <w:color w:val="auto"/>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61430525"/>
    <w:multiLevelType w:val="hybridMultilevel"/>
    <w:tmpl w:val="D90EA8AA"/>
    <w:lvl w:ilvl="0" w:tplc="041A0001">
      <w:start w:val="1"/>
      <w:numFmt w:val="bullet"/>
      <w:lvlText w:val=""/>
      <w:lvlJc w:val="left"/>
      <w:pPr>
        <w:ind w:left="360" w:hanging="360"/>
      </w:pPr>
      <w:rPr>
        <w:rFonts w:ascii="Symbol" w:hAnsi="Symbol" w:hint="default"/>
        <w:color w:val="auto"/>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65AA7123"/>
    <w:multiLevelType w:val="hybridMultilevel"/>
    <w:tmpl w:val="420C2C8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65F7736D"/>
    <w:multiLevelType w:val="hybridMultilevel"/>
    <w:tmpl w:val="1A14D234"/>
    <w:lvl w:ilvl="0" w:tplc="041A0001">
      <w:start w:val="1"/>
      <w:numFmt w:val="bullet"/>
      <w:lvlText w:val=""/>
      <w:lvlJc w:val="left"/>
      <w:pPr>
        <w:ind w:left="360" w:hanging="360"/>
      </w:pPr>
      <w:rPr>
        <w:rFonts w:ascii="Symbol" w:hAnsi="Symbol" w:hint="default"/>
        <w:color w:val="auto"/>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 w15:restartNumberingAfterBreak="0">
    <w:nsid w:val="677C435A"/>
    <w:multiLevelType w:val="hybridMultilevel"/>
    <w:tmpl w:val="7D3002F8"/>
    <w:lvl w:ilvl="0" w:tplc="041A0001">
      <w:start w:val="1"/>
      <w:numFmt w:val="bullet"/>
      <w:lvlText w:val=""/>
      <w:lvlJc w:val="left"/>
      <w:pPr>
        <w:ind w:left="360" w:hanging="360"/>
      </w:pPr>
      <w:rPr>
        <w:rFonts w:ascii="Symbol" w:hAnsi="Symbol" w:hint="default"/>
        <w:color w:val="auto"/>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1" w15:restartNumberingAfterBreak="0">
    <w:nsid w:val="6D3B32CF"/>
    <w:multiLevelType w:val="hybridMultilevel"/>
    <w:tmpl w:val="C242E98C"/>
    <w:lvl w:ilvl="0" w:tplc="041A0001">
      <w:start w:val="1"/>
      <w:numFmt w:val="bullet"/>
      <w:lvlText w:val=""/>
      <w:lvlJc w:val="left"/>
      <w:pPr>
        <w:ind w:left="766" w:hanging="360"/>
      </w:pPr>
      <w:rPr>
        <w:rFonts w:ascii="Symbol" w:hAnsi="Symbol" w:hint="default"/>
      </w:rPr>
    </w:lvl>
    <w:lvl w:ilvl="1" w:tplc="041A0003" w:tentative="1">
      <w:start w:val="1"/>
      <w:numFmt w:val="bullet"/>
      <w:lvlText w:val="o"/>
      <w:lvlJc w:val="left"/>
      <w:pPr>
        <w:ind w:left="1486" w:hanging="360"/>
      </w:pPr>
      <w:rPr>
        <w:rFonts w:ascii="Courier New" w:hAnsi="Courier New" w:cs="Courier New" w:hint="default"/>
      </w:rPr>
    </w:lvl>
    <w:lvl w:ilvl="2" w:tplc="041A0005" w:tentative="1">
      <w:start w:val="1"/>
      <w:numFmt w:val="bullet"/>
      <w:lvlText w:val=""/>
      <w:lvlJc w:val="left"/>
      <w:pPr>
        <w:ind w:left="2206" w:hanging="360"/>
      </w:pPr>
      <w:rPr>
        <w:rFonts w:ascii="Wingdings" w:hAnsi="Wingdings" w:hint="default"/>
      </w:rPr>
    </w:lvl>
    <w:lvl w:ilvl="3" w:tplc="041A0001" w:tentative="1">
      <w:start w:val="1"/>
      <w:numFmt w:val="bullet"/>
      <w:lvlText w:val=""/>
      <w:lvlJc w:val="left"/>
      <w:pPr>
        <w:ind w:left="2926" w:hanging="360"/>
      </w:pPr>
      <w:rPr>
        <w:rFonts w:ascii="Symbol" w:hAnsi="Symbol" w:hint="default"/>
      </w:rPr>
    </w:lvl>
    <w:lvl w:ilvl="4" w:tplc="041A0003" w:tentative="1">
      <w:start w:val="1"/>
      <w:numFmt w:val="bullet"/>
      <w:lvlText w:val="o"/>
      <w:lvlJc w:val="left"/>
      <w:pPr>
        <w:ind w:left="3646" w:hanging="360"/>
      </w:pPr>
      <w:rPr>
        <w:rFonts w:ascii="Courier New" w:hAnsi="Courier New" w:cs="Courier New" w:hint="default"/>
      </w:rPr>
    </w:lvl>
    <w:lvl w:ilvl="5" w:tplc="041A0005" w:tentative="1">
      <w:start w:val="1"/>
      <w:numFmt w:val="bullet"/>
      <w:lvlText w:val=""/>
      <w:lvlJc w:val="left"/>
      <w:pPr>
        <w:ind w:left="4366" w:hanging="360"/>
      </w:pPr>
      <w:rPr>
        <w:rFonts w:ascii="Wingdings" w:hAnsi="Wingdings" w:hint="default"/>
      </w:rPr>
    </w:lvl>
    <w:lvl w:ilvl="6" w:tplc="041A0001" w:tentative="1">
      <w:start w:val="1"/>
      <w:numFmt w:val="bullet"/>
      <w:lvlText w:val=""/>
      <w:lvlJc w:val="left"/>
      <w:pPr>
        <w:ind w:left="5086" w:hanging="360"/>
      </w:pPr>
      <w:rPr>
        <w:rFonts w:ascii="Symbol" w:hAnsi="Symbol" w:hint="default"/>
      </w:rPr>
    </w:lvl>
    <w:lvl w:ilvl="7" w:tplc="041A0003" w:tentative="1">
      <w:start w:val="1"/>
      <w:numFmt w:val="bullet"/>
      <w:lvlText w:val="o"/>
      <w:lvlJc w:val="left"/>
      <w:pPr>
        <w:ind w:left="5806" w:hanging="360"/>
      </w:pPr>
      <w:rPr>
        <w:rFonts w:ascii="Courier New" w:hAnsi="Courier New" w:cs="Courier New" w:hint="default"/>
      </w:rPr>
    </w:lvl>
    <w:lvl w:ilvl="8" w:tplc="041A0005" w:tentative="1">
      <w:start w:val="1"/>
      <w:numFmt w:val="bullet"/>
      <w:lvlText w:val=""/>
      <w:lvlJc w:val="left"/>
      <w:pPr>
        <w:ind w:left="6526" w:hanging="360"/>
      </w:pPr>
      <w:rPr>
        <w:rFonts w:ascii="Wingdings" w:hAnsi="Wingdings" w:hint="default"/>
      </w:rPr>
    </w:lvl>
  </w:abstractNum>
  <w:abstractNum w:abstractNumId="22" w15:restartNumberingAfterBreak="0">
    <w:nsid w:val="6F7B1A09"/>
    <w:multiLevelType w:val="hybridMultilevel"/>
    <w:tmpl w:val="1EEEE0D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71161A0D"/>
    <w:multiLevelType w:val="hybridMultilevel"/>
    <w:tmpl w:val="699027B0"/>
    <w:lvl w:ilvl="0" w:tplc="041A0001">
      <w:start w:val="1"/>
      <w:numFmt w:val="bullet"/>
      <w:lvlText w:val=""/>
      <w:lvlJc w:val="left"/>
      <w:pPr>
        <w:ind w:left="360" w:hanging="360"/>
      </w:pPr>
      <w:rPr>
        <w:rFonts w:ascii="Symbol" w:hAnsi="Symbol" w:hint="default"/>
        <w:color w:val="auto"/>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4" w15:restartNumberingAfterBreak="0">
    <w:nsid w:val="71452C2C"/>
    <w:multiLevelType w:val="hybridMultilevel"/>
    <w:tmpl w:val="524A7A94"/>
    <w:lvl w:ilvl="0" w:tplc="041A0001">
      <w:start w:val="1"/>
      <w:numFmt w:val="bullet"/>
      <w:lvlText w:val=""/>
      <w:lvlJc w:val="left"/>
      <w:pPr>
        <w:ind w:left="360" w:hanging="360"/>
      </w:pPr>
      <w:rPr>
        <w:rFonts w:ascii="Symbol" w:hAnsi="Symbol" w:hint="default"/>
        <w:color w:val="auto"/>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5" w15:restartNumberingAfterBreak="0">
    <w:nsid w:val="72740E97"/>
    <w:multiLevelType w:val="hybridMultilevel"/>
    <w:tmpl w:val="7AF2084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72E0464F"/>
    <w:multiLevelType w:val="hybridMultilevel"/>
    <w:tmpl w:val="A2E46E94"/>
    <w:lvl w:ilvl="0" w:tplc="041A0001">
      <w:start w:val="1"/>
      <w:numFmt w:val="bullet"/>
      <w:lvlText w:val=""/>
      <w:lvlJc w:val="left"/>
      <w:pPr>
        <w:ind w:left="360" w:hanging="360"/>
      </w:pPr>
      <w:rPr>
        <w:rFonts w:ascii="Symbol" w:hAnsi="Symbol" w:hint="default"/>
        <w:color w:val="auto"/>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7" w15:restartNumberingAfterBreak="0">
    <w:nsid w:val="74BC2051"/>
    <w:multiLevelType w:val="hybridMultilevel"/>
    <w:tmpl w:val="B756E402"/>
    <w:lvl w:ilvl="0" w:tplc="041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541129A"/>
    <w:multiLevelType w:val="hybridMultilevel"/>
    <w:tmpl w:val="A79EEAC2"/>
    <w:lvl w:ilvl="0" w:tplc="04360005">
      <w:start w:val="1"/>
      <w:numFmt w:val="bullet"/>
      <w:lvlText w:val=""/>
      <w:lvlJc w:val="left"/>
      <w:pPr>
        <w:ind w:left="764" w:hanging="360"/>
      </w:pPr>
      <w:rPr>
        <w:rFonts w:ascii="Wingdings" w:hAnsi="Wingdings" w:hint="default"/>
      </w:rPr>
    </w:lvl>
    <w:lvl w:ilvl="1" w:tplc="FFFFFFFF" w:tentative="1">
      <w:start w:val="1"/>
      <w:numFmt w:val="bullet"/>
      <w:lvlText w:val="o"/>
      <w:lvlJc w:val="left"/>
      <w:pPr>
        <w:ind w:left="1484" w:hanging="360"/>
      </w:pPr>
      <w:rPr>
        <w:rFonts w:ascii="Courier New" w:hAnsi="Courier New" w:cs="Courier New" w:hint="default"/>
      </w:rPr>
    </w:lvl>
    <w:lvl w:ilvl="2" w:tplc="FFFFFFFF" w:tentative="1">
      <w:start w:val="1"/>
      <w:numFmt w:val="bullet"/>
      <w:lvlText w:val=""/>
      <w:lvlJc w:val="left"/>
      <w:pPr>
        <w:ind w:left="2204" w:hanging="360"/>
      </w:pPr>
      <w:rPr>
        <w:rFonts w:ascii="Wingdings" w:hAnsi="Wingdings" w:hint="default"/>
      </w:rPr>
    </w:lvl>
    <w:lvl w:ilvl="3" w:tplc="FFFFFFFF" w:tentative="1">
      <w:start w:val="1"/>
      <w:numFmt w:val="bullet"/>
      <w:lvlText w:val=""/>
      <w:lvlJc w:val="left"/>
      <w:pPr>
        <w:ind w:left="2924" w:hanging="360"/>
      </w:pPr>
      <w:rPr>
        <w:rFonts w:ascii="Symbol" w:hAnsi="Symbol" w:hint="default"/>
      </w:rPr>
    </w:lvl>
    <w:lvl w:ilvl="4" w:tplc="FFFFFFFF" w:tentative="1">
      <w:start w:val="1"/>
      <w:numFmt w:val="bullet"/>
      <w:lvlText w:val="o"/>
      <w:lvlJc w:val="left"/>
      <w:pPr>
        <w:ind w:left="3644" w:hanging="360"/>
      </w:pPr>
      <w:rPr>
        <w:rFonts w:ascii="Courier New" w:hAnsi="Courier New" w:cs="Courier New" w:hint="default"/>
      </w:rPr>
    </w:lvl>
    <w:lvl w:ilvl="5" w:tplc="FFFFFFFF" w:tentative="1">
      <w:start w:val="1"/>
      <w:numFmt w:val="bullet"/>
      <w:lvlText w:val=""/>
      <w:lvlJc w:val="left"/>
      <w:pPr>
        <w:ind w:left="4364" w:hanging="360"/>
      </w:pPr>
      <w:rPr>
        <w:rFonts w:ascii="Wingdings" w:hAnsi="Wingdings" w:hint="default"/>
      </w:rPr>
    </w:lvl>
    <w:lvl w:ilvl="6" w:tplc="FFFFFFFF" w:tentative="1">
      <w:start w:val="1"/>
      <w:numFmt w:val="bullet"/>
      <w:lvlText w:val=""/>
      <w:lvlJc w:val="left"/>
      <w:pPr>
        <w:ind w:left="5084" w:hanging="360"/>
      </w:pPr>
      <w:rPr>
        <w:rFonts w:ascii="Symbol" w:hAnsi="Symbol" w:hint="default"/>
      </w:rPr>
    </w:lvl>
    <w:lvl w:ilvl="7" w:tplc="FFFFFFFF" w:tentative="1">
      <w:start w:val="1"/>
      <w:numFmt w:val="bullet"/>
      <w:lvlText w:val="o"/>
      <w:lvlJc w:val="left"/>
      <w:pPr>
        <w:ind w:left="5804" w:hanging="360"/>
      </w:pPr>
      <w:rPr>
        <w:rFonts w:ascii="Courier New" w:hAnsi="Courier New" w:cs="Courier New" w:hint="default"/>
      </w:rPr>
    </w:lvl>
    <w:lvl w:ilvl="8" w:tplc="FFFFFFFF" w:tentative="1">
      <w:start w:val="1"/>
      <w:numFmt w:val="bullet"/>
      <w:lvlText w:val=""/>
      <w:lvlJc w:val="left"/>
      <w:pPr>
        <w:ind w:left="6524" w:hanging="360"/>
      </w:pPr>
      <w:rPr>
        <w:rFonts w:ascii="Wingdings" w:hAnsi="Wingdings" w:hint="default"/>
      </w:rPr>
    </w:lvl>
  </w:abstractNum>
  <w:abstractNum w:abstractNumId="29" w15:restartNumberingAfterBreak="0">
    <w:nsid w:val="77716BF0"/>
    <w:multiLevelType w:val="hybridMultilevel"/>
    <w:tmpl w:val="C318ED64"/>
    <w:lvl w:ilvl="0" w:tplc="041A0005">
      <w:start w:val="1"/>
      <w:numFmt w:val="bullet"/>
      <w:lvlText w:val=""/>
      <w:lvlJc w:val="left"/>
      <w:pPr>
        <w:ind w:left="360" w:hanging="360"/>
      </w:pPr>
      <w:rPr>
        <w:rFonts w:ascii="Wingdings" w:hAnsi="Wingdings" w:hint="default"/>
        <w:color w:val="auto"/>
      </w:rPr>
    </w:lvl>
    <w:lvl w:ilvl="1" w:tplc="6B3681CC">
      <w:start w:val="1"/>
      <w:numFmt w:val="bullet"/>
      <w:lvlText w:val=""/>
      <w:lvlPicBulletId w:val="0"/>
      <w:lvlJc w:val="left"/>
      <w:pPr>
        <w:ind w:left="1080" w:hanging="360"/>
      </w:pPr>
      <w:rPr>
        <w:rFonts w:ascii="Symbol" w:hAnsi="Symbol" w:hint="default"/>
        <w:color w:val="auto"/>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0" w15:restartNumberingAfterBreak="0">
    <w:nsid w:val="7AA610D0"/>
    <w:multiLevelType w:val="hybridMultilevel"/>
    <w:tmpl w:val="6576BD10"/>
    <w:lvl w:ilvl="0" w:tplc="041A0001">
      <w:start w:val="1"/>
      <w:numFmt w:val="bullet"/>
      <w:lvlText w:val=""/>
      <w:lvlJc w:val="left"/>
      <w:pPr>
        <w:ind w:left="1713" w:hanging="360"/>
      </w:pPr>
      <w:rPr>
        <w:rFonts w:ascii="Symbol" w:hAnsi="Symbol" w:hint="default"/>
      </w:rPr>
    </w:lvl>
    <w:lvl w:ilvl="1" w:tplc="041A0003" w:tentative="1">
      <w:start w:val="1"/>
      <w:numFmt w:val="bullet"/>
      <w:lvlText w:val="o"/>
      <w:lvlJc w:val="left"/>
      <w:pPr>
        <w:ind w:left="2433" w:hanging="360"/>
      </w:pPr>
      <w:rPr>
        <w:rFonts w:ascii="Courier New" w:hAnsi="Courier New" w:cs="Courier New" w:hint="default"/>
      </w:rPr>
    </w:lvl>
    <w:lvl w:ilvl="2" w:tplc="041A0005" w:tentative="1">
      <w:start w:val="1"/>
      <w:numFmt w:val="bullet"/>
      <w:lvlText w:val=""/>
      <w:lvlJc w:val="left"/>
      <w:pPr>
        <w:ind w:left="3153" w:hanging="360"/>
      </w:pPr>
      <w:rPr>
        <w:rFonts w:ascii="Wingdings" w:hAnsi="Wingdings" w:hint="default"/>
      </w:rPr>
    </w:lvl>
    <w:lvl w:ilvl="3" w:tplc="041A0001" w:tentative="1">
      <w:start w:val="1"/>
      <w:numFmt w:val="bullet"/>
      <w:lvlText w:val=""/>
      <w:lvlJc w:val="left"/>
      <w:pPr>
        <w:ind w:left="3873" w:hanging="360"/>
      </w:pPr>
      <w:rPr>
        <w:rFonts w:ascii="Symbol" w:hAnsi="Symbol" w:hint="default"/>
      </w:rPr>
    </w:lvl>
    <w:lvl w:ilvl="4" w:tplc="041A0003" w:tentative="1">
      <w:start w:val="1"/>
      <w:numFmt w:val="bullet"/>
      <w:lvlText w:val="o"/>
      <w:lvlJc w:val="left"/>
      <w:pPr>
        <w:ind w:left="4593" w:hanging="360"/>
      </w:pPr>
      <w:rPr>
        <w:rFonts w:ascii="Courier New" w:hAnsi="Courier New" w:cs="Courier New" w:hint="default"/>
      </w:rPr>
    </w:lvl>
    <w:lvl w:ilvl="5" w:tplc="041A0005" w:tentative="1">
      <w:start w:val="1"/>
      <w:numFmt w:val="bullet"/>
      <w:lvlText w:val=""/>
      <w:lvlJc w:val="left"/>
      <w:pPr>
        <w:ind w:left="5313" w:hanging="360"/>
      </w:pPr>
      <w:rPr>
        <w:rFonts w:ascii="Wingdings" w:hAnsi="Wingdings" w:hint="default"/>
      </w:rPr>
    </w:lvl>
    <w:lvl w:ilvl="6" w:tplc="041A0001" w:tentative="1">
      <w:start w:val="1"/>
      <w:numFmt w:val="bullet"/>
      <w:lvlText w:val=""/>
      <w:lvlJc w:val="left"/>
      <w:pPr>
        <w:ind w:left="6033" w:hanging="360"/>
      </w:pPr>
      <w:rPr>
        <w:rFonts w:ascii="Symbol" w:hAnsi="Symbol" w:hint="default"/>
      </w:rPr>
    </w:lvl>
    <w:lvl w:ilvl="7" w:tplc="041A0003" w:tentative="1">
      <w:start w:val="1"/>
      <w:numFmt w:val="bullet"/>
      <w:lvlText w:val="o"/>
      <w:lvlJc w:val="left"/>
      <w:pPr>
        <w:ind w:left="6753" w:hanging="360"/>
      </w:pPr>
      <w:rPr>
        <w:rFonts w:ascii="Courier New" w:hAnsi="Courier New" w:cs="Courier New" w:hint="default"/>
      </w:rPr>
    </w:lvl>
    <w:lvl w:ilvl="8" w:tplc="041A0005" w:tentative="1">
      <w:start w:val="1"/>
      <w:numFmt w:val="bullet"/>
      <w:lvlText w:val=""/>
      <w:lvlJc w:val="left"/>
      <w:pPr>
        <w:ind w:left="7473" w:hanging="360"/>
      </w:pPr>
      <w:rPr>
        <w:rFonts w:ascii="Wingdings" w:hAnsi="Wingdings" w:hint="default"/>
      </w:rPr>
    </w:lvl>
  </w:abstractNum>
  <w:abstractNum w:abstractNumId="31" w15:restartNumberingAfterBreak="0">
    <w:nsid w:val="7AEC1492"/>
    <w:multiLevelType w:val="hybridMultilevel"/>
    <w:tmpl w:val="307C5C30"/>
    <w:lvl w:ilvl="0" w:tplc="0436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547765120">
    <w:abstractNumId w:val="13"/>
  </w:num>
  <w:num w:numId="2" w16cid:durableId="571237403">
    <w:abstractNumId w:val="0"/>
  </w:num>
  <w:num w:numId="3" w16cid:durableId="739643877">
    <w:abstractNumId w:val="6"/>
  </w:num>
  <w:num w:numId="4" w16cid:durableId="1320504277">
    <w:abstractNumId w:val="5"/>
  </w:num>
  <w:num w:numId="5" w16cid:durableId="922375665">
    <w:abstractNumId w:val="29"/>
  </w:num>
  <w:num w:numId="6" w16cid:durableId="2086412406">
    <w:abstractNumId w:val="25"/>
  </w:num>
  <w:num w:numId="7" w16cid:durableId="586812756">
    <w:abstractNumId w:val="22"/>
  </w:num>
  <w:num w:numId="8" w16cid:durableId="98258229">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74679093">
    <w:abstractNumId w:val="9"/>
  </w:num>
  <w:num w:numId="10" w16cid:durableId="624510423">
    <w:abstractNumId w:val="3"/>
  </w:num>
  <w:num w:numId="11" w16cid:durableId="120148459">
    <w:abstractNumId w:val="21"/>
  </w:num>
  <w:num w:numId="12" w16cid:durableId="2093548781">
    <w:abstractNumId w:val="10"/>
  </w:num>
  <w:num w:numId="13" w16cid:durableId="1392655662">
    <w:abstractNumId w:val="28"/>
  </w:num>
  <w:num w:numId="14" w16cid:durableId="1492790548">
    <w:abstractNumId w:val="31"/>
  </w:num>
  <w:num w:numId="15" w16cid:durableId="169758809">
    <w:abstractNumId w:val="11"/>
  </w:num>
  <w:num w:numId="16" w16cid:durableId="629018208">
    <w:abstractNumId w:val="7"/>
  </w:num>
  <w:num w:numId="17" w16cid:durableId="1481729858">
    <w:abstractNumId w:val="2"/>
  </w:num>
  <w:num w:numId="18" w16cid:durableId="521209247">
    <w:abstractNumId w:val="18"/>
  </w:num>
  <w:num w:numId="19" w16cid:durableId="123239794">
    <w:abstractNumId w:val="27"/>
  </w:num>
  <w:num w:numId="20" w16cid:durableId="16582589">
    <w:abstractNumId w:val="15"/>
  </w:num>
  <w:num w:numId="21" w16cid:durableId="1289748755">
    <w:abstractNumId w:val="1"/>
  </w:num>
  <w:num w:numId="22" w16cid:durableId="2119136557">
    <w:abstractNumId w:val="19"/>
  </w:num>
  <w:num w:numId="23" w16cid:durableId="553658544">
    <w:abstractNumId w:val="23"/>
  </w:num>
  <w:num w:numId="24" w16cid:durableId="1058014933">
    <w:abstractNumId w:val="16"/>
  </w:num>
  <w:num w:numId="25" w16cid:durableId="483396044">
    <w:abstractNumId w:val="14"/>
  </w:num>
  <w:num w:numId="26" w16cid:durableId="1324891083">
    <w:abstractNumId w:val="12"/>
  </w:num>
  <w:num w:numId="27" w16cid:durableId="121459342">
    <w:abstractNumId w:val="4"/>
  </w:num>
  <w:num w:numId="28" w16cid:durableId="474764081">
    <w:abstractNumId w:val="20"/>
  </w:num>
  <w:num w:numId="29" w16cid:durableId="157158862">
    <w:abstractNumId w:val="26"/>
  </w:num>
  <w:num w:numId="30" w16cid:durableId="2085563490">
    <w:abstractNumId w:val="17"/>
  </w:num>
  <w:num w:numId="31" w16cid:durableId="1510217816">
    <w:abstractNumId w:val="24"/>
  </w:num>
  <w:num w:numId="32" w16cid:durableId="556667668">
    <w:abstractNumId w:val="8"/>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10"/>
  <w:displayHorizontalDrawingGridEvery w:val="2"/>
  <w:noPunctuationKerning/>
  <w:characterSpacingControl w:val="doNotCompress"/>
  <w:hdrShapeDefaults>
    <o:shapedefaults v:ext="edit" spidmax="18433"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DD3"/>
    <w:rsid w:val="000004EB"/>
    <w:rsid w:val="000007C5"/>
    <w:rsid w:val="00001DF5"/>
    <w:rsid w:val="0000236A"/>
    <w:rsid w:val="00002AC0"/>
    <w:rsid w:val="000064E6"/>
    <w:rsid w:val="000078CF"/>
    <w:rsid w:val="00010789"/>
    <w:rsid w:val="000117F0"/>
    <w:rsid w:val="00011865"/>
    <w:rsid w:val="00012CD9"/>
    <w:rsid w:val="00013747"/>
    <w:rsid w:val="00014095"/>
    <w:rsid w:val="000148FA"/>
    <w:rsid w:val="00014B86"/>
    <w:rsid w:val="00015947"/>
    <w:rsid w:val="000204D7"/>
    <w:rsid w:val="00020BB7"/>
    <w:rsid w:val="00021255"/>
    <w:rsid w:val="00021EBF"/>
    <w:rsid w:val="00022ACB"/>
    <w:rsid w:val="00023E63"/>
    <w:rsid w:val="00023F84"/>
    <w:rsid w:val="000245B6"/>
    <w:rsid w:val="000247ED"/>
    <w:rsid w:val="00025FB3"/>
    <w:rsid w:val="00026D02"/>
    <w:rsid w:val="00027067"/>
    <w:rsid w:val="0003080E"/>
    <w:rsid w:val="00030BFA"/>
    <w:rsid w:val="00030E9E"/>
    <w:rsid w:val="00030F5B"/>
    <w:rsid w:val="00031B27"/>
    <w:rsid w:val="000331E9"/>
    <w:rsid w:val="000343BF"/>
    <w:rsid w:val="000375BD"/>
    <w:rsid w:val="0004058E"/>
    <w:rsid w:val="00040B48"/>
    <w:rsid w:val="000423AF"/>
    <w:rsid w:val="000424E3"/>
    <w:rsid w:val="000439F2"/>
    <w:rsid w:val="0004456A"/>
    <w:rsid w:val="00045121"/>
    <w:rsid w:val="000452E4"/>
    <w:rsid w:val="0004589A"/>
    <w:rsid w:val="00045CB6"/>
    <w:rsid w:val="000460AD"/>
    <w:rsid w:val="000460E2"/>
    <w:rsid w:val="00046A55"/>
    <w:rsid w:val="000476EC"/>
    <w:rsid w:val="000477F5"/>
    <w:rsid w:val="0004799B"/>
    <w:rsid w:val="00047E60"/>
    <w:rsid w:val="00050B0D"/>
    <w:rsid w:val="00051020"/>
    <w:rsid w:val="00052E4B"/>
    <w:rsid w:val="00054107"/>
    <w:rsid w:val="00054750"/>
    <w:rsid w:val="00054C54"/>
    <w:rsid w:val="0005777B"/>
    <w:rsid w:val="00057D41"/>
    <w:rsid w:val="0006233C"/>
    <w:rsid w:val="00062406"/>
    <w:rsid w:val="00062C83"/>
    <w:rsid w:val="00063368"/>
    <w:rsid w:val="00064084"/>
    <w:rsid w:val="000650B5"/>
    <w:rsid w:val="00065227"/>
    <w:rsid w:val="000661D6"/>
    <w:rsid w:val="00066EE5"/>
    <w:rsid w:val="00067A89"/>
    <w:rsid w:val="00071588"/>
    <w:rsid w:val="00071F74"/>
    <w:rsid w:val="000736C4"/>
    <w:rsid w:val="00074B6F"/>
    <w:rsid w:val="000751B8"/>
    <w:rsid w:val="0007586D"/>
    <w:rsid w:val="000761DA"/>
    <w:rsid w:val="00080327"/>
    <w:rsid w:val="0008124F"/>
    <w:rsid w:val="00081394"/>
    <w:rsid w:val="000818F2"/>
    <w:rsid w:val="00081960"/>
    <w:rsid w:val="0008261C"/>
    <w:rsid w:val="00082647"/>
    <w:rsid w:val="000834E2"/>
    <w:rsid w:val="00084960"/>
    <w:rsid w:val="000867B2"/>
    <w:rsid w:val="00086A9C"/>
    <w:rsid w:val="00086E74"/>
    <w:rsid w:val="000874AA"/>
    <w:rsid w:val="00092315"/>
    <w:rsid w:val="00092A64"/>
    <w:rsid w:val="00093945"/>
    <w:rsid w:val="000946E0"/>
    <w:rsid w:val="000952D4"/>
    <w:rsid w:val="0009580D"/>
    <w:rsid w:val="00095953"/>
    <w:rsid w:val="00095A4A"/>
    <w:rsid w:val="00096AA5"/>
    <w:rsid w:val="00096D2F"/>
    <w:rsid w:val="00097476"/>
    <w:rsid w:val="000A1866"/>
    <w:rsid w:val="000A188F"/>
    <w:rsid w:val="000A19D7"/>
    <w:rsid w:val="000A2D31"/>
    <w:rsid w:val="000A3A6C"/>
    <w:rsid w:val="000A4D8A"/>
    <w:rsid w:val="000A4E6B"/>
    <w:rsid w:val="000A4F44"/>
    <w:rsid w:val="000A5864"/>
    <w:rsid w:val="000A592A"/>
    <w:rsid w:val="000A5D06"/>
    <w:rsid w:val="000A5ED0"/>
    <w:rsid w:val="000A6036"/>
    <w:rsid w:val="000A6EDE"/>
    <w:rsid w:val="000A7075"/>
    <w:rsid w:val="000A7C7B"/>
    <w:rsid w:val="000B02AE"/>
    <w:rsid w:val="000B03E0"/>
    <w:rsid w:val="000B200B"/>
    <w:rsid w:val="000B2F8C"/>
    <w:rsid w:val="000B5C2E"/>
    <w:rsid w:val="000B77D4"/>
    <w:rsid w:val="000B7D5D"/>
    <w:rsid w:val="000C1266"/>
    <w:rsid w:val="000C1EE8"/>
    <w:rsid w:val="000C23EB"/>
    <w:rsid w:val="000C2B8D"/>
    <w:rsid w:val="000C2F03"/>
    <w:rsid w:val="000C4C04"/>
    <w:rsid w:val="000C51E5"/>
    <w:rsid w:val="000C5302"/>
    <w:rsid w:val="000C5578"/>
    <w:rsid w:val="000C62DC"/>
    <w:rsid w:val="000C63B6"/>
    <w:rsid w:val="000C6F40"/>
    <w:rsid w:val="000C7824"/>
    <w:rsid w:val="000C78A7"/>
    <w:rsid w:val="000C7FA1"/>
    <w:rsid w:val="000D00FF"/>
    <w:rsid w:val="000D03B4"/>
    <w:rsid w:val="000D22E6"/>
    <w:rsid w:val="000D52A9"/>
    <w:rsid w:val="000D65A5"/>
    <w:rsid w:val="000D6B65"/>
    <w:rsid w:val="000D6FDA"/>
    <w:rsid w:val="000E0855"/>
    <w:rsid w:val="000E1C40"/>
    <w:rsid w:val="000E1DCA"/>
    <w:rsid w:val="000E28F1"/>
    <w:rsid w:val="000E2F00"/>
    <w:rsid w:val="000E4082"/>
    <w:rsid w:val="000E40AA"/>
    <w:rsid w:val="000E4485"/>
    <w:rsid w:val="000E50AA"/>
    <w:rsid w:val="000E5D2D"/>
    <w:rsid w:val="000E6555"/>
    <w:rsid w:val="000E66F4"/>
    <w:rsid w:val="000E6732"/>
    <w:rsid w:val="000E6BE3"/>
    <w:rsid w:val="000E7477"/>
    <w:rsid w:val="000E7949"/>
    <w:rsid w:val="000F14A1"/>
    <w:rsid w:val="000F1BE4"/>
    <w:rsid w:val="000F1C46"/>
    <w:rsid w:val="000F2676"/>
    <w:rsid w:val="000F2B19"/>
    <w:rsid w:val="000F3A21"/>
    <w:rsid w:val="000F66D3"/>
    <w:rsid w:val="000F7601"/>
    <w:rsid w:val="000F7FF6"/>
    <w:rsid w:val="001023A8"/>
    <w:rsid w:val="0010262F"/>
    <w:rsid w:val="00104257"/>
    <w:rsid w:val="001051B9"/>
    <w:rsid w:val="0010551B"/>
    <w:rsid w:val="001058CB"/>
    <w:rsid w:val="00106E20"/>
    <w:rsid w:val="001074E8"/>
    <w:rsid w:val="001075A8"/>
    <w:rsid w:val="001078CB"/>
    <w:rsid w:val="00110459"/>
    <w:rsid w:val="001111CF"/>
    <w:rsid w:val="001125DA"/>
    <w:rsid w:val="00112F06"/>
    <w:rsid w:val="00112F25"/>
    <w:rsid w:val="00112F59"/>
    <w:rsid w:val="00114365"/>
    <w:rsid w:val="00114CF9"/>
    <w:rsid w:val="00117085"/>
    <w:rsid w:val="00117D92"/>
    <w:rsid w:val="00117DC7"/>
    <w:rsid w:val="0012330F"/>
    <w:rsid w:val="0012453D"/>
    <w:rsid w:val="001249AF"/>
    <w:rsid w:val="001259BB"/>
    <w:rsid w:val="00126F23"/>
    <w:rsid w:val="001275FA"/>
    <w:rsid w:val="00127CBF"/>
    <w:rsid w:val="00131404"/>
    <w:rsid w:val="0013182A"/>
    <w:rsid w:val="00131970"/>
    <w:rsid w:val="00132A8B"/>
    <w:rsid w:val="001340DF"/>
    <w:rsid w:val="00135118"/>
    <w:rsid w:val="001364A2"/>
    <w:rsid w:val="001366A3"/>
    <w:rsid w:val="00136EFC"/>
    <w:rsid w:val="00137588"/>
    <w:rsid w:val="001400D8"/>
    <w:rsid w:val="00140339"/>
    <w:rsid w:val="00141FEA"/>
    <w:rsid w:val="00142A7F"/>
    <w:rsid w:val="00142CC1"/>
    <w:rsid w:val="00143EB8"/>
    <w:rsid w:val="00144BF6"/>
    <w:rsid w:val="001456F0"/>
    <w:rsid w:val="00145736"/>
    <w:rsid w:val="001522B0"/>
    <w:rsid w:val="00155868"/>
    <w:rsid w:val="001558B8"/>
    <w:rsid w:val="00156AD5"/>
    <w:rsid w:val="00156C60"/>
    <w:rsid w:val="00157F9C"/>
    <w:rsid w:val="0016015A"/>
    <w:rsid w:val="00160FB7"/>
    <w:rsid w:val="00161825"/>
    <w:rsid w:val="00162028"/>
    <w:rsid w:val="001621E0"/>
    <w:rsid w:val="00162261"/>
    <w:rsid w:val="00163647"/>
    <w:rsid w:val="00163934"/>
    <w:rsid w:val="00163D46"/>
    <w:rsid w:val="00164910"/>
    <w:rsid w:val="001652E3"/>
    <w:rsid w:val="00165963"/>
    <w:rsid w:val="001659F2"/>
    <w:rsid w:val="00165A82"/>
    <w:rsid w:val="001666C1"/>
    <w:rsid w:val="00167D64"/>
    <w:rsid w:val="00170EF7"/>
    <w:rsid w:val="00170F65"/>
    <w:rsid w:val="00171231"/>
    <w:rsid w:val="00171E86"/>
    <w:rsid w:val="001726B2"/>
    <w:rsid w:val="0017387E"/>
    <w:rsid w:val="00173B8B"/>
    <w:rsid w:val="00173EF7"/>
    <w:rsid w:val="00174853"/>
    <w:rsid w:val="00174DE7"/>
    <w:rsid w:val="00174E48"/>
    <w:rsid w:val="00175277"/>
    <w:rsid w:val="0017538B"/>
    <w:rsid w:val="0017584D"/>
    <w:rsid w:val="00176574"/>
    <w:rsid w:val="0017697C"/>
    <w:rsid w:val="00176B8D"/>
    <w:rsid w:val="00176DFE"/>
    <w:rsid w:val="001770FE"/>
    <w:rsid w:val="001772FF"/>
    <w:rsid w:val="00180230"/>
    <w:rsid w:val="00180474"/>
    <w:rsid w:val="001807BB"/>
    <w:rsid w:val="001815E2"/>
    <w:rsid w:val="001818BE"/>
    <w:rsid w:val="00183260"/>
    <w:rsid w:val="0018695E"/>
    <w:rsid w:val="00186A98"/>
    <w:rsid w:val="00186BF9"/>
    <w:rsid w:val="00187E3E"/>
    <w:rsid w:val="00190478"/>
    <w:rsid w:val="001935F0"/>
    <w:rsid w:val="00193EF9"/>
    <w:rsid w:val="00194E2E"/>
    <w:rsid w:val="00195222"/>
    <w:rsid w:val="001958AD"/>
    <w:rsid w:val="001972F1"/>
    <w:rsid w:val="0019733A"/>
    <w:rsid w:val="00197E99"/>
    <w:rsid w:val="001A0BFF"/>
    <w:rsid w:val="001A2094"/>
    <w:rsid w:val="001A2273"/>
    <w:rsid w:val="001A2F81"/>
    <w:rsid w:val="001A39F2"/>
    <w:rsid w:val="001A5D6E"/>
    <w:rsid w:val="001A5F60"/>
    <w:rsid w:val="001A71DA"/>
    <w:rsid w:val="001B110B"/>
    <w:rsid w:val="001B248A"/>
    <w:rsid w:val="001B2F26"/>
    <w:rsid w:val="001B3BF1"/>
    <w:rsid w:val="001B409C"/>
    <w:rsid w:val="001B6544"/>
    <w:rsid w:val="001B6D4B"/>
    <w:rsid w:val="001B712C"/>
    <w:rsid w:val="001C05B7"/>
    <w:rsid w:val="001C08D2"/>
    <w:rsid w:val="001C1FDA"/>
    <w:rsid w:val="001C385E"/>
    <w:rsid w:val="001C4469"/>
    <w:rsid w:val="001C46CF"/>
    <w:rsid w:val="001C53E0"/>
    <w:rsid w:val="001C542F"/>
    <w:rsid w:val="001C5BC9"/>
    <w:rsid w:val="001C5C38"/>
    <w:rsid w:val="001C7925"/>
    <w:rsid w:val="001D1743"/>
    <w:rsid w:val="001D2375"/>
    <w:rsid w:val="001D3316"/>
    <w:rsid w:val="001D3369"/>
    <w:rsid w:val="001D58F9"/>
    <w:rsid w:val="001D5BBC"/>
    <w:rsid w:val="001E08A9"/>
    <w:rsid w:val="001E0E3F"/>
    <w:rsid w:val="001E1423"/>
    <w:rsid w:val="001E16E0"/>
    <w:rsid w:val="001E1F56"/>
    <w:rsid w:val="001E2E80"/>
    <w:rsid w:val="001E4699"/>
    <w:rsid w:val="001E4D52"/>
    <w:rsid w:val="001E4D8E"/>
    <w:rsid w:val="001E605F"/>
    <w:rsid w:val="001E6075"/>
    <w:rsid w:val="001E6A5F"/>
    <w:rsid w:val="001E7086"/>
    <w:rsid w:val="001E7433"/>
    <w:rsid w:val="001E7899"/>
    <w:rsid w:val="001F0B52"/>
    <w:rsid w:val="001F205F"/>
    <w:rsid w:val="001F3DBA"/>
    <w:rsid w:val="001F44E4"/>
    <w:rsid w:val="001F46B2"/>
    <w:rsid w:val="001F5A8B"/>
    <w:rsid w:val="001F75B0"/>
    <w:rsid w:val="002032B4"/>
    <w:rsid w:val="00203B7D"/>
    <w:rsid w:val="002044D6"/>
    <w:rsid w:val="0020458C"/>
    <w:rsid w:val="00205113"/>
    <w:rsid w:val="002065FB"/>
    <w:rsid w:val="00206C63"/>
    <w:rsid w:val="00207221"/>
    <w:rsid w:val="00210420"/>
    <w:rsid w:val="00211119"/>
    <w:rsid w:val="00213CA9"/>
    <w:rsid w:val="00213CFC"/>
    <w:rsid w:val="002145B1"/>
    <w:rsid w:val="0021759A"/>
    <w:rsid w:val="00217BAE"/>
    <w:rsid w:val="0022025B"/>
    <w:rsid w:val="0022163A"/>
    <w:rsid w:val="00221827"/>
    <w:rsid w:val="0022210D"/>
    <w:rsid w:val="002228E6"/>
    <w:rsid w:val="00223306"/>
    <w:rsid w:val="002245A7"/>
    <w:rsid w:val="0022561A"/>
    <w:rsid w:val="00225E9E"/>
    <w:rsid w:val="002270E6"/>
    <w:rsid w:val="002275FD"/>
    <w:rsid w:val="002315DD"/>
    <w:rsid w:val="00232492"/>
    <w:rsid w:val="0023488C"/>
    <w:rsid w:val="00234A7A"/>
    <w:rsid w:val="00234CBF"/>
    <w:rsid w:val="0023731C"/>
    <w:rsid w:val="00241853"/>
    <w:rsid w:val="00242626"/>
    <w:rsid w:val="0025118A"/>
    <w:rsid w:val="00251C27"/>
    <w:rsid w:val="002530E1"/>
    <w:rsid w:val="002545E4"/>
    <w:rsid w:val="002577CC"/>
    <w:rsid w:val="00260A1E"/>
    <w:rsid w:val="00261EF9"/>
    <w:rsid w:val="00263405"/>
    <w:rsid w:val="00264496"/>
    <w:rsid w:val="002646F8"/>
    <w:rsid w:val="00264827"/>
    <w:rsid w:val="002669D6"/>
    <w:rsid w:val="00267FFB"/>
    <w:rsid w:val="00270CC1"/>
    <w:rsid w:val="002711B5"/>
    <w:rsid w:val="00271415"/>
    <w:rsid w:val="00271A15"/>
    <w:rsid w:val="00275093"/>
    <w:rsid w:val="00275236"/>
    <w:rsid w:val="00276DCD"/>
    <w:rsid w:val="00280D3E"/>
    <w:rsid w:val="00281B95"/>
    <w:rsid w:val="00282F89"/>
    <w:rsid w:val="00283845"/>
    <w:rsid w:val="002854DA"/>
    <w:rsid w:val="00285AA7"/>
    <w:rsid w:val="0029065B"/>
    <w:rsid w:val="00290B4A"/>
    <w:rsid w:val="0029121A"/>
    <w:rsid w:val="00291C64"/>
    <w:rsid w:val="0029201F"/>
    <w:rsid w:val="002923A9"/>
    <w:rsid w:val="00292428"/>
    <w:rsid w:val="00293160"/>
    <w:rsid w:val="002938BD"/>
    <w:rsid w:val="00294013"/>
    <w:rsid w:val="00294753"/>
    <w:rsid w:val="002951C5"/>
    <w:rsid w:val="0029541C"/>
    <w:rsid w:val="00295452"/>
    <w:rsid w:val="0029628C"/>
    <w:rsid w:val="00296447"/>
    <w:rsid w:val="00297BDF"/>
    <w:rsid w:val="002A12E9"/>
    <w:rsid w:val="002A3950"/>
    <w:rsid w:val="002A42E8"/>
    <w:rsid w:val="002A4C25"/>
    <w:rsid w:val="002A5274"/>
    <w:rsid w:val="002A6EA2"/>
    <w:rsid w:val="002A726F"/>
    <w:rsid w:val="002A72D2"/>
    <w:rsid w:val="002A73F4"/>
    <w:rsid w:val="002A76FF"/>
    <w:rsid w:val="002A7F6D"/>
    <w:rsid w:val="002B25AE"/>
    <w:rsid w:val="002B388A"/>
    <w:rsid w:val="002B4953"/>
    <w:rsid w:val="002B7A23"/>
    <w:rsid w:val="002C05BC"/>
    <w:rsid w:val="002C0DC4"/>
    <w:rsid w:val="002C27D3"/>
    <w:rsid w:val="002C3394"/>
    <w:rsid w:val="002C34EB"/>
    <w:rsid w:val="002C424B"/>
    <w:rsid w:val="002C4A74"/>
    <w:rsid w:val="002C74E9"/>
    <w:rsid w:val="002C7785"/>
    <w:rsid w:val="002C77F9"/>
    <w:rsid w:val="002D0213"/>
    <w:rsid w:val="002D0A8B"/>
    <w:rsid w:val="002D1045"/>
    <w:rsid w:val="002D11EF"/>
    <w:rsid w:val="002D32D0"/>
    <w:rsid w:val="002D469E"/>
    <w:rsid w:val="002D4A65"/>
    <w:rsid w:val="002D4DDC"/>
    <w:rsid w:val="002D528B"/>
    <w:rsid w:val="002D5603"/>
    <w:rsid w:val="002D7A4E"/>
    <w:rsid w:val="002D7E30"/>
    <w:rsid w:val="002E147E"/>
    <w:rsid w:val="002E3953"/>
    <w:rsid w:val="002E3D5B"/>
    <w:rsid w:val="002E4509"/>
    <w:rsid w:val="002E4786"/>
    <w:rsid w:val="002E4C1B"/>
    <w:rsid w:val="002E5C1A"/>
    <w:rsid w:val="002E66B4"/>
    <w:rsid w:val="002E71B4"/>
    <w:rsid w:val="002E7EEE"/>
    <w:rsid w:val="002F1A18"/>
    <w:rsid w:val="002F2B0C"/>
    <w:rsid w:val="002F2F1E"/>
    <w:rsid w:val="002F48F0"/>
    <w:rsid w:val="002F4D7B"/>
    <w:rsid w:val="002F4DAC"/>
    <w:rsid w:val="002F6337"/>
    <w:rsid w:val="002F65A7"/>
    <w:rsid w:val="002F790C"/>
    <w:rsid w:val="003008BE"/>
    <w:rsid w:val="00301239"/>
    <w:rsid w:val="0030317C"/>
    <w:rsid w:val="00305895"/>
    <w:rsid w:val="003059F1"/>
    <w:rsid w:val="00305FDF"/>
    <w:rsid w:val="003060CF"/>
    <w:rsid w:val="0030695C"/>
    <w:rsid w:val="0030698F"/>
    <w:rsid w:val="00306D21"/>
    <w:rsid w:val="003073B8"/>
    <w:rsid w:val="00307691"/>
    <w:rsid w:val="00307A0C"/>
    <w:rsid w:val="003104CC"/>
    <w:rsid w:val="003111C5"/>
    <w:rsid w:val="0031123B"/>
    <w:rsid w:val="00312840"/>
    <w:rsid w:val="0031353D"/>
    <w:rsid w:val="00313C94"/>
    <w:rsid w:val="00317FD6"/>
    <w:rsid w:val="00320DD3"/>
    <w:rsid w:val="00322A7D"/>
    <w:rsid w:val="00322F84"/>
    <w:rsid w:val="003230AB"/>
    <w:rsid w:val="00323F63"/>
    <w:rsid w:val="00324461"/>
    <w:rsid w:val="00324763"/>
    <w:rsid w:val="0032477F"/>
    <w:rsid w:val="003253CC"/>
    <w:rsid w:val="003266CF"/>
    <w:rsid w:val="00330CBF"/>
    <w:rsid w:val="0033183F"/>
    <w:rsid w:val="00332007"/>
    <w:rsid w:val="00332E36"/>
    <w:rsid w:val="00333F92"/>
    <w:rsid w:val="003345A9"/>
    <w:rsid w:val="003352D0"/>
    <w:rsid w:val="00335E23"/>
    <w:rsid w:val="0033625E"/>
    <w:rsid w:val="003408D2"/>
    <w:rsid w:val="0034160E"/>
    <w:rsid w:val="00344BA9"/>
    <w:rsid w:val="00345443"/>
    <w:rsid w:val="00346869"/>
    <w:rsid w:val="00346C6B"/>
    <w:rsid w:val="00347E53"/>
    <w:rsid w:val="00347E80"/>
    <w:rsid w:val="00352778"/>
    <w:rsid w:val="00352BCF"/>
    <w:rsid w:val="003545FE"/>
    <w:rsid w:val="00354D25"/>
    <w:rsid w:val="00354F99"/>
    <w:rsid w:val="00355727"/>
    <w:rsid w:val="00356426"/>
    <w:rsid w:val="003565F1"/>
    <w:rsid w:val="003575BA"/>
    <w:rsid w:val="00360077"/>
    <w:rsid w:val="00360246"/>
    <w:rsid w:val="003616F2"/>
    <w:rsid w:val="00361DEA"/>
    <w:rsid w:val="00361FA6"/>
    <w:rsid w:val="003627B9"/>
    <w:rsid w:val="00363093"/>
    <w:rsid w:val="00363D63"/>
    <w:rsid w:val="00363F57"/>
    <w:rsid w:val="00364058"/>
    <w:rsid w:val="00364382"/>
    <w:rsid w:val="00365126"/>
    <w:rsid w:val="00366790"/>
    <w:rsid w:val="00367AD6"/>
    <w:rsid w:val="00370508"/>
    <w:rsid w:val="003714C1"/>
    <w:rsid w:val="00372697"/>
    <w:rsid w:val="003726EA"/>
    <w:rsid w:val="00373F6E"/>
    <w:rsid w:val="003759F1"/>
    <w:rsid w:val="00376B84"/>
    <w:rsid w:val="00376D96"/>
    <w:rsid w:val="00376FF9"/>
    <w:rsid w:val="00377F24"/>
    <w:rsid w:val="00380BDE"/>
    <w:rsid w:val="00382C08"/>
    <w:rsid w:val="003841D4"/>
    <w:rsid w:val="00384376"/>
    <w:rsid w:val="003849A7"/>
    <w:rsid w:val="003863BF"/>
    <w:rsid w:val="00386A30"/>
    <w:rsid w:val="00387A0A"/>
    <w:rsid w:val="00387BF5"/>
    <w:rsid w:val="003911A8"/>
    <w:rsid w:val="0039130C"/>
    <w:rsid w:val="00392A19"/>
    <w:rsid w:val="00392E9E"/>
    <w:rsid w:val="003931FB"/>
    <w:rsid w:val="0039429D"/>
    <w:rsid w:val="0039585C"/>
    <w:rsid w:val="0039708C"/>
    <w:rsid w:val="003973BB"/>
    <w:rsid w:val="003978F2"/>
    <w:rsid w:val="003A0A1F"/>
    <w:rsid w:val="003A0F6D"/>
    <w:rsid w:val="003A2C38"/>
    <w:rsid w:val="003A3E40"/>
    <w:rsid w:val="003A42C9"/>
    <w:rsid w:val="003A524F"/>
    <w:rsid w:val="003A532D"/>
    <w:rsid w:val="003A5BC8"/>
    <w:rsid w:val="003A6D7F"/>
    <w:rsid w:val="003A6FC8"/>
    <w:rsid w:val="003A7C21"/>
    <w:rsid w:val="003B2092"/>
    <w:rsid w:val="003B2A2E"/>
    <w:rsid w:val="003B3965"/>
    <w:rsid w:val="003B49CC"/>
    <w:rsid w:val="003B56A7"/>
    <w:rsid w:val="003B76C4"/>
    <w:rsid w:val="003B7BF8"/>
    <w:rsid w:val="003C3274"/>
    <w:rsid w:val="003C6588"/>
    <w:rsid w:val="003C70CE"/>
    <w:rsid w:val="003C736D"/>
    <w:rsid w:val="003C76AA"/>
    <w:rsid w:val="003C78D3"/>
    <w:rsid w:val="003C7A7C"/>
    <w:rsid w:val="003C7B65"/>
    <w:rsid w:val="003D16C2"/>
    <w:rsid w:val="003D1C9F"/>
    <w:rsid w:val="003D21DF"/>
    <w:rsid w:val="003D2805"/>
    <w:rsid w:val="003D2A78"/>
    <w:rsid w:val="003D4C7D"/>
    <w:rsid w:val="003D4CA4"/>
    <w:rsid w:val="003D5254"/>
    <w:rsid w:val="003D57F1"/>
    <w:rsid w:val="003D5A0B"/>
    <w:rsid w:val="003D5B54"/>
    <w:rsid w:val="003D5C17"/>
    <w:rsid w:val="003D6432"/>
    <w:rsid w:val="003E083F"/>
    <w:rsid w:val="003E0D85"/>
    <w:rsid w:val="003E1365"/>
    <w:rsid w:val="003E251A"/>
    <w:rsid w:val="003E3137"/>
    <w:rsid w:val="003E4DCF"/>
    <w:rsid w:val="003E50C6"/>
    <w:rsid w:val="003E5997"/>
    <w:rsid w:val="003E6B37"/>
    <w:rsid w:val="003E7348"/>
    <w:rsid w:val="003E7926"/>
    <w:rsid w:val="003F046B"/>
    <w:rsid w:val="003F05F7"/>
    <w:rsid w:val="003F0BE8"/>
    <w:rsid w:val="003F2E20"/>
    <w:rsid w:val="003F3453"/>
    <w:rsid w:val="003F39E7"/>
    <w:rsid w:val="003F7C56"/>
    <w:rsid w:val="00400AED"/>
    <w:rsid w:val="004016DD"/>
    <w:rsid w:val="004020D7"/>
    <w:rsid w:val="00402AA8"/>
    <w:rsid w:val="0040321F"/>
    <w:rsid w:val="00404027"/>
    <w:rsid w:val="00404E23"/>
    <w:rsid w:val="00404E9F"/>
    <w:rsid w:val="00404EF2"/>
    <w:rsid w:val="00405CB1"/>
    <w:rsid w:val="00405CDC"/>
    <w:rsid w:val="004062A1"/>
    <w:rsid w:val="00406C27"/>
    <w:rsid w:val="004073E9"/>
    <w:rsid w:val="00410110"/>
    <w:rsid w:val="0041063C"/>
    <w:rsid w:val="00410C62"/>
    <w:rsid w:val="004119B4"/>
    <w:rsid w:val="00412777"/>
    <w:rsid w:val="004130CE"/>
    <w:rsid w:val="00413177"/>
    <w:rsid w:val="00413B71"/>
    <w:rsid w:val="004143B9"/>
    <w:rsid w:val="004151E2"/>
    <w:rsid w:val="00415303"/>
    <w:rsid w:val="00415D8C"/>
    <w:rsid w:val="00416149"/>
    <w:rsid w:val="00416306"/>
    <w:rsid w:val="0041630C"/>
    <w:rsid w:val="00417E2C"/>
    <w:rsid w:val="00420583"/>
    <w:rsid w:val="00420B81"/>
    <w:rsid w:val="0042178B"/>
    <w:rsid w:val="00422076"/>
    <w:rsid w:val="00422677"/>
    <w:rsid w:val="004233F5"/>
    <w:rsid w:val="00423B8C"/>
    <w:rsid w:val="00424222"/>
    <w:rsid w:val="00424784"/>
    <w:rsid w:val="00424884"/>
    <w:rsid w:val="004257B7"/>
    <w:rsid w:val="00425CF0"/>
    <w:rsid w:val="00425D9B"/>
    <w:rsid w:val="00426108"/>
    <w:rsid w:val="004264E3"/>
    <w:rsid w:val="004311F9"/>
    <w:rsid w:val="0043222E"/>
    <w:rsid w:val="0043338A"/>
    <w:rsid w:val="0043349A"/>
    <w:rsid w:val="004346BF"/>
    <w:rsid w:val="00434F5F"/>
    <w:rsid w:val="00435736"/>
    <w:rsid w:val="004362EC"/>
    <w:rsid w:val="00436307"/>
    <w:rsid w:val="004374C2"/>
    <w:rsid w:val="00437563"/>
    <w:rsid w:val="00437AA4"/>
    <w:rsid w:val="004405AC"/>
    <w:rsid w:val="00441A8C"/>
    <w:rsid w:val="00442BF9"/>
    <w:rsid w:val="00442FF2"/>
    <w:rsid w:val="00445AB8"/>
    <w:rsid w:val="004465AA"/>
    <w:rsid w:val="00450581"/>
    <w:rsid w:val="004507D1"/>
    <w:rsid w:val="0045183A"/>
    <w:rsid w:val="00453A72"/>
    <w:rsid w:val="004545CE"/>
    <w:rsid w:val="0045507A"/>
    <w:rsid w:val="00455528"/>
    <w:rsid w:val="004561BB"/>
    <w:rsid w:val="00457410"/>
    <w:rsid w:val="00457F0C"/>
    <w:rsid w:val="00460115"/>
    <w:rsid w:val="004604F3"/>
    <w:rsid w:val="00461AF4"/>
    <w:rsid w:val="00461B9A"/>
    <w:rsid w:val="00461E96"/>
    <w:rsid w:val="00462603"/>
    <w:rsid w:val="00462BEF"/>
    <w:rsid w:val="00462C64"/>
    <w:rsid w:val="004652DA"/>
    <w:rsid w:val="00465ADA"/>
    <w:rsid w:val="00466042"/>
    <w:rsid w:val="004672C9"/>
    <w:rsid w:val="00470493"/>
    <w:rsid w:val="004708BA"/>
    <w:rsid w:val="00471335"/>
    <w:rsid w:val="0047182D"/>
    <w:rsid w:val="00471AF1"/>
    <w:rsid w:val="00472C0C"/>
    <w:rsid w:val="00472E67"/>
    <w:rsid w:val="00472F1C"/>
    <w:rsid w:val="00472F94"/>
    <w:rsid w:val="0047384E"/>
    <w:rsid w:val="00473BD9"/>
    <w:rsid w:val="00473CC0"/>
    <w:rsid w:val="004745CC"/>
    <w:rsid w:val="00474BBE"/>
    <w:rsid w:val="0047598E"/>
    <w:rsid w:val="00475B78"/>
    <w:rsid w:val="00475D07"/>
    <w:rsid w:val="00476433"/>
    <w:rsid w:val="00476539"/>
    <w:rsid w:val="00476590"/>
    <w:rsid w:val="00477BAC"/>
    <w:rsid w:val="00482A24"/>
    <w:rsid w:val="004830BF"/>
    <w:rsid w:val="0048386F"/>
    <w:rsid w:val="004844A4"/>
    <w:rsid w:val="00485BEA"/>
    <w:rsid w:val="00485F01"/>
    <w:rsid w:val="00486022"/>
    <w:rsid w:val="00487F10"/>
    <w:rsid w:val="0049098E"/>
    <w:rsid w:val="00491EED"/>
    <w:rsid w:val="004931A9"/>
    <w:rsid w:val="00495526"/>
    <w:rsid w:val="004965E1"/>
    <w:rsid w:val="00496D14"/>
    <w:rsid w:val="004A0854"/>
    <w:rsid w:val="004A2065"/>
    <w:rsid w:val="004A31AD"/>
    <w:rsid w:val="004A36DE"/>
    <w:rsid w:val="004A4462"/>
    <w:rsid w:val="004A4B1E"/>
    <w:rsid w:val="004A4B42"/>
    <w:rsid w:val="004A546A"/>
    <w:rsid w:val="004A68F8"/>
    <w:rsid w:val="004A6A67"/>
    <w:rsid w:val="004A6D9C"/>
    <w:rsid w:val="004B0AE7"/>
    <w:rsid w:val="004B1644"/>
    <w:rsid w:val="004B1BE9"/>
    <w:rsid w:val="004B208F"/>
    <w:rsid w:val="004B2368"/>
    <w:rsid w:val="004B35B8"/>
    <w:rsid w:val="004B3667"/>
    <w:rsid w:val="004B3726"/>
    <w:rsid w:val="004B604D"/>
    <w:rsid w:val="004B659D"/>
    <w:rsid w:val="004C1777"/>
    <w:rsid w:val="004C1B0C"/>
    <w:rsid w:val="004C23D2"/>
    <w:rsid w:val="004C2DA3"/>
    <w:rsid w:val="004C3F6F"/>
    <w:rsid w:val="004C4708"/>
    <w:rsid w:val="004C59C4"/>
    <w:rsid w:val="004C5FEE"/>
    <w:rsid w:val="004C61BF"/>
    <w:rsid w:val="004D2722"/>
    <w:rsid w:val="004D2A2E"/>
    <w:rsid w:val="004D3F48"/>
    <w:rsid w:val="004D599D"/>
    <w:rsid w:val="004D6D27"/>
    <w:rsid w:val="004D741C"/>
    <w:rsid w:val="004D762C"/>
    <w:rsid w:val="004D7D39"/>
    <w:rsid w:val="004E2CA3"/>
    <w:rsid w:val="004E2D36"/>
    <w:rsid w:val="004E3865"/>
    <w:rsid w:val="004E40FA"/>
    <w:rsid w:val="004E4247"/>
    <w:rsid w:val="004E4A9F"/>
    <w:rsid w:val="004E51E2"/>
    <w:rsid w:val="004E5281"/>
    <w:rsid w:val="004E55B7"/>
    <w:rsid w:val="004E6854"/>
    <w:rsid w:val="004E698E"/>
    <w:rsid w:val="004F0F40"/>
    <w:rsid w:val="004F1136"/>
    <w:rsid w:val="004F17AA"/>
    <w:rsid w:val="004F243A"/>
    <w:rsid w:val="004F265D"/>
    <w:rsid w:val="004F2EE2"/>
    <w:rsid w:val="004F3109"/>
    <w:rsid w:val="004F4281"/>
    <w:rsid w:val="004F4290"/>
    <w:rsid w:val="004F578E"/>
    <w:rsid w:val="004F603A"/>
    <w:rsid w:val="00501A5E"/>
    <w:rsid w:val="00502214"/>
    <w:rsid w:val="005027D9"/>
    <w:rsid w:val="00502D67"/>
    <w:rsid w:val="00504290"/>
    <w:rsid w:val="005044A2"/>
    <w:rsid w:val="00504FAC"/>
    <w:rsid w:val="00506648"/>
    <w:rsid w:val="0050764B"/>
    <w:rsid w:val="00507D37"/>
    <w:rsid w:val="005106CF"/>
    <w:rsid w:val="00511262"/>
    <w:rsid w:val="00511525"/>
    <w:rsid w:val="00512044"/>
    <w:rsid w:val="00512468"/>
    <w:rsid w:val="005134CF"/>
    <w:rsid w:val="0051373A"/>
    <w:rsid w:val="00513B34"/>
    <w:rsid w:val="005156E8"/>
    <w:rsid w:val="005164BB"/>
    <w:rsid w:val="00517D5C"/>
    <w:rsid w:val="00517F2D"/>
    <w:rsid w:val="00520667"/>
    <w:rsid w:val="005211CB"/>
    <w:rsid w:val="00521BC0"/>
    <w:rsid w:val="00523D8D"/>
    <w:rsid w:val="0052539B"/>
    <w:rsid w:val="00526BF8"/>
    <w:rsid w:val="00530CC9"/>
    <w:rsid w:val="00530E53"/>
    <w:rsid w:val="00531A91"/>
    <w:rsid w:val="00532C94"/>
    <w:rsid w:val="00533E30"/>
    <w:rsid w:val="00533F35"/>
    <w:rsid w:val="005347D5"/>
    <w:rsid w:val="00536F46"/>
    <w:rsid w:val="005405C7"/>
    <w:rsid w:val="00542A10"/>
    <w:rsid w:val="00542C3E"/>
    <w:rsid w:val="0054552E"/>
    <w:rsid w:val="00546C4F"/>
    <w:rsid w:val="00546E21"/>
    <w:rsid w:val="00547D53"/>
    <w:rsid w:val="005512DB"/>
    <w:rsid w:val="00552CFC"/>
    <w:rsid w:val="005533B1"/>
    <w:rsid w:val="00554171"/>
    <w:rsid w:val="005545F7"/>
    <w:rsid w:val="00555087"/>
    <w:rsid w:val="00555EA2"/>
    <w:rsid w:val="005574FF"/>
    <w:rsid w:val="00557BFF"/>
    <w:rsid w:val="005602AC"/>
    <w:rsid w:val="0056055D"/>
    <w:rsid w:val="00562037"/>
    <w:rsid w:val="0056328F"/>
    <w:rsid w:val="00565B03"/>
    <w:rsid w:val="00565C4A"/>
    <w:rsid w:val="005665E0"/>
    <w:rsid w:val="00571CA7"/>
    <w:rsid w:val="00571D3B"/>
    <w:rsid w:val="00571E44"/>
    <w:rsid w:val="0057232B"/>
    <w:rsid w:val="00572D0E"/>
    <w:rsid w:val="0057375B"/>
    <w:rsid w:val="00573CF4"/>
    <w:rsid w:val="005741EB"/>
    <w:rsid w:val="00575636"/>
    <w:rsid w:val="00575DBF"/>
    <w:rsid w:val="005767BB"/>
    <w:rsid w:val="00576B6E"/>
    <w:rsid w:val="00577BC5"/>
    <w:rsid w:val="00580596"/>
    <w:rsid w:val="005807F8"/>
    <w:rsid w:val="0058208B"/>
    <w:rsid w:val="0058305B"/>
    <w:rsid w:val="00584FD1"/>
    <w:rsid w:val="00585806"/>
    <w:rsid w:val="00585A63"/>
    <w:rsid w:val="00586393"/>
    <w:rsid w:val="00586997"/>
    <w:rsid w:val="00586EA3"/>
    <w:rsid w:val="00587020"/>
    <w:rsid w:val="005901CC"/>
    <w:rsid w:val="00591A2B"/>
    <w:rsid w:val="0059210F"/>
    <w:rsid w:val="005933E6"/>
    <w:rsid w:val="00593DB4"/>
    <w:rsid w:val="00593E1E"/>
    <w:rsid w:val="005944B5"/>
    <w:rsid w:val="005956A2"/>
    <w:rsid w:val="00595CD1"/>
    <w:rsid w:val="00595F02"/>
    <w:rsid w:val="00596249"/>
    <w:rsid w:val="005966D9"/>
    <w:rsid w:val="005969C8"/>
    <w:rsid w:val="00596A55"/>
    <w:rsid w:val="00596B91"/>
    <w:rsid w:val="0059733C"/>
    <w:rsid w:val="0059761B"/>
    <w:rsid w:val="005A0083"/>
    <w:rsid w:val="005A0D83"/>
    <w:rsid w:val="005A1D8E"/>
    <w:rsid w:val="005A61F4"/>
    <w:rsid w:val="005A6950"/>
    <w:rsid w:val="005B00C8"/>
    <w:rsid w:val="005B0AC2"/>
    <w:rsid w:val="005B1175"/>
    <w:rsid w:val="005B2041"/>
    <w:rsid w:val="005B2DA0"/>
    <w:rsid w:val="005B301F"/>
    <w:rsid w:val="005B503F"/>
    <w:rsid w:val="005B5E4F"/>
    <w:rsid w:val="005B6087"/>
    <w:rsid w:val="005B60C6"/>
    <w:rsid w:val="005B6E00"/>
    <w:rsid w:val="005B722B"/>
    <w:rsid w:val="005B72DE"/>
    <w:rsid w:val="005B7F31"/>
    <w:rsid w:val="005C0786"/>
    <w:rsid w:val="005C0A6B"/>
    <w:rsid w:val="005C22B4"/>
    <w:rsid w:val="005C260C"/>
    <w:rsid w:val="005C26DC"/>
    <w:rsid w:val="005C2881"/>
    <w:rsid w:val="005C36EA"/>
    <w:rsid w:val="005C4AC1"/>
    <w:rsid w:val="005C5268"/>
    <w:rsid w:val="005C60AA"/>
    <w:rsid w:val="005C63BC"/>
    <w:rsid w:val="005C6CED"/>
    <w:rsid w:val="005C7307"/>
    <w:rsid w:val="005D0EE1"/>
    <w:rsid w:val="005D1AFE"/>
    <w:rsid w:val="005D2289"/>
    <w:rsid w:val="005D2984"/>
    <w:rsid w:val="005D29EE"/>
    <w:rsid w:val="005D3D08"/>
    <w:rsid w:val="005D434C"/>
    <w:rsid w:val="005D4A7A"/>
    <w:rsid w:val="005D4C4F"/>
    <w:rsid w:val="005D633D"/>
    <w:rsid w:val="005D78FF"/>
    <w:rsid w:val="005D7C1B"/>
    <w:rsid w:val="005D7E45"/>
    <w:rsid w:val="005E05A9"/>
    <w:rsid w:val="005E0905"/>
    <w:rsid w:val="005E2EA6"/>
    <w:rsid w:val="005E38E0"/>
    <w:rsid w:val="005E6381"/>
    <w:rsid w:val="005F017B"/>
    <w:rsid w:val="005F19FA"/>
    <w:rsid w:val="005F245B"/>
    <w:rsid w:val="005F276E"/>
    <w:rsid w:val="005F2AB9"/>
    <w:rsid w:val="005F2E66"/>
    <w:rsid w:val="005F431C"/>
    <w:rsid w:val="005F4562"/>
    <w:rsid w:val="005F4B0F"/>
    <w:rsid w:val="005F7A84"/>
    <w:rsid w:val="00600A9C"/>
    <w:rsid w:val="00600CC5"/>
    <w:rsid w:val="00600FBB"/>
    <w:rsid w:val="00601D4C"/>
    <w:rsid w:val="006046AC"/>
    <w:rsid w:val="00605055"/>
    <w:rsid w:val="00605425"/>
    <w:rsid w:val="0060639C"/>
    <w:rsid w:val="00606615"/>
    <w:rsid w:val="00606ADD"/>
    <w:rsid w:val="00606D30"/>
    <w:rsid w:val="00607426"/>
    <w:rsid w:val="006079E0"/>
    <w:rsid w:val="006104E2"/>
    <w:rsid w:val="00610F25"/>
    <w:rsid w:val="0061368B"/>
    <w:rsid w:val="006141A7"/>
    <w:rsid w:val="00614731"/>
    <w:rsid w:val="00615FAE"/>
    <w:rsid w:val="0061790C"/>
    <w:rsid w:val="00617C34"/>
    <w:rsid w:val="00617D1E"/>
    <w:rsid w:val="0062137E"/>
    <w:rsid w:val="0062185E"/>
    <w:rsid w:val="00621D50"/>
    <w:rsid w:val="00624243"/>
    <w:rsid w:val="0062551F"/>
    <w:rsid w:val="00625B3B"/>
    <w:rsid w:val="00625C2B"/>
    <w:rsid w:val="006264E9"/>
    <w:rsid w:val="0062694C"/>
    <w:rsid w:val="00626A94"/>
    <w:rsid w:val="00626F83"/>
    <w:rsid w:val="00630F14"/>
    <w:rsid w:val="00631EC2"/>
    <w:rsid w:val="00632A1B"/>
    <w:rsid w:val="00633ECB"/>
    <w:rsid w:val="00635791"/>
    <w:rsid w:val="00635CA9"/>
    <w:rsid w:val="00637ABA"/>
    <w:rsid w:val="00640C63"/>
    <w:rsid w:val="00641CF0"/>
    <w:rsid w:val="00643382"/>
    <w:rsid w:val="0064343B"/>
    <w:rsid w:val="006436FE"/>
    <w:rsid w:val="0064692E"/>
    <w:rsid w:val="00652B5E"/>
    <w:rsid w:val="00652DD9"/>
    <w:rsid w:val="00653F47"/>
    <w:rsid w:val="0065443F"/>
    <w:rsid w:val="00655752"/>
    <w:rsid w:val="00657572"/>
    <w:rsid w:val="00657E9A"/>
    <w:rsid w:val="006608FC"/>
    <w:rsid w:val="00661250"/>
    <w:rsid w:val="006620A8"/>
    <w:rsid w:val="00662447"/>
    <w:rsid w:val="006639D4"/>
    <w:rsid w:val="00664B72"/>
    <w:rsid w:val="006661FE"/>
    <w:rsid w:val="00666751"/>
    <w:rsid w:val="00666929"/>
    <w:rsid w:val="00666F65"/>
    <w:rsid w:val="00666FBD"/>
    <w:rsid w:val="00667A8F"/>
    <w:rsid w:val="00670034"/>
    <w:rsid w:val="006702F4"/>
    <w:rsid w:val="00670C88"/>
    <w:rsid w:val="00671D80"/>
    <w:rsid w:val="0067262B"/>
    <w:rsid w:val="00674B9C"/>
    <w:rsid w:val="00674CC5"/>
    <w:rsid w:val="0067561C"/>
    <w:rsid w:val="006757E3"/>
    <w:rsid w:val="00675DA2"/>
    <w:rsid w:val="00676BD7"/>
    <w:rsid w:val="0067744B"/>
    <w:rsid w:val="00677799"/>
    <w:rsid w:val="0067789F"/>
    <w:rsid w:val="00680A4D"/>
    <w:rsid w:val="006837BB"/>
    <w:rsid w:val="00683A4B"/>
    <w:rsid w:val="00683CCD"/>
    <w:rsid w:val="0068488A"/>
    <w:rsid w:val="00684A33"/>
    <w:rsid w:val="0068557E"/>
    <w:rsid w:val="006855FD"/>
    <w:rsid w:val="00685B3A"/>
    <w:rsid w:val="00687123"/>
    <w:rsid w:val="00687B27"/>
    <w:rsid w:val="00690236"/>
    <w:rsid w:val="006903F2"/>
    <w:rsid w:val="00690B1B"/>
    <w:rsid w:val="0069199A"/>
    <w:rsid w:val="00691E67"/>
    <w:rsid w:val="00693544"/>
    <w:rsid w:val="006937A6"/>
    <w:rsid w:val="00693E35"/>
    <w:rsid w:val="00693F07"/>
    <w:rsid w:val="00694D60"/>
    <w:rsid w:val="00695AB8"/>
    <w:rsid w:val="00697DBD"/>
    <w:rsid w:val="006A14B9"/>
    <w:rsid w:val="006A1DBF"/>
    <w:rsid w:val="006A29A9"/>
    <w:rsid w:val="006A2F5C"/>
    <w:rsid w:val="006A4679"/>
    <w:rsid w:val="006A4D88"/>
    <w:rsid w:val="006A4DAB"/>
    <w:rsid w:val="006A57AB"/>
    <w:rsid w:val="006A5ACF"/>
    <w:rsid w:val="006A61A8"/>
    <w:rsid w:val="006A729E"/>
    <w:rsid w:val="006A7310"/>
    <w:rsid w:val="006A7608"/>
    <w:rsid w:val="006B1ECB"/>
    <w:rsid w:val="006B21A6"/>
    <w:rsid w:val="006B2C04"/>
    <w:rsid w:val="006B2EFE"/>
    <w:rsid w:val="006B4D2E"/>
    <w:rsid w:val="006B618E"/>
    <w:rsid w:val="006B7232"/>
    <w:rsid w:val="006C044E"/>
    <w:rsid w:val="006C0F00"/>
    <w:rsid w:val="006C1DB1"/>
    <w:rsid w:val="006C264B"/>
    <w:rsid w:val="006C2830"/>
    <w:rsid w:val="006C2D68"/>
    <w:rsid w:val="006C5D91"/>
    <w:rsid w:val="006C5DAE"/>
    <w:rsid w:val="006C64CE"/>
    <w:rsid w:val="006C78BD"/>
    <w:rsid w:val="006C7AA7"/>
    <w:rsid w:val="006D25DA"/>
    <w:rsid w:val="006D26FB"/>
    <w:rsid w:val="006D279A"/>
    <w:rsid w:val="006D2AD3"/>
    <w:rsid w:val="006D2BE9"/>
    <w:rsid w:val="006D35C9"/>
    <w:rsid w:val="006D3CE6"/>
    <w:rsid w:val="006D4FD8"/>
    <w:rsid w:val="006D509B"/>
    <w:rsid w:val="006D6F99"/>
    <w:rsid w:val="006D70C5"/>
    <w:rsid w:val="006D7261"/>
    <w:rsid w:val="006D76AF"/>
    <w:rsid w:val="006E09A6"/>
    <w:rsid w:val="006E09C2"/>
    <w:rsid w:val="006E21EA"/>
    <w:rsid w:val="006E3068"/>
    <w:rsid w:val="006E35CD"/>
    <w:rsid w:val="006E3BFB"/>
    <w:rsid w:val="006E4CCA"/>
    <w:rsid w:val="006E5C60"/>
    <w:rsid w:val="006E6182"/>
    <w:rsid w:val="006E7600"/>
    <w:rsid w:val="006F09A8"/>
    <w:rsid w:val="006F0BF8"/>
    <w:rsid w:val="006F1807"/>
    <w:rsid w:val="006F3E5B"/>
    <w:rsid w:val="006F4AD1"/>
    <w:rsid w:val="006F4C8C"/>
    <w:rsid w:val="006F794D"/>
    <w:rsid w:val="00700200"/>
    <w:rsid w:val="0070031B"/>
    <w:rsid w:val="007004AF"/>
    <w:rsid w:val="00702A96"/>
    <w:rsid w:val="00704139"/>
    <w:rsid w:val="0070747B"/>
    <w:rsid w:val="00707CC6"/>
    <w:rsid w:val="00710BEA"/>
    <w:rsid w:val="00711039"/>
    <w:rsid w:val="007122AF"/>
    <w:rsid w:val="00712323"/>
    <w:rsid w:val="0071251C"/>
    <w:rsid w:val="00713871"/>
    <w:rsid w:val="00713D95"/>
    <w:rsid w:val="00715E8F"/>
    <w:rsid w:val="00716B41"/>
    <w:rsid w:val="00716CB0"/>
    <w:rsid w:val="00720223"/>
    <w:rsid w:val="00721394"/>
    <w:rsid w:val="00721E68"/>
    <w:rsid w:val="007229CE"/>
    <w:rsid w:val="00722AAE"/>
    <w:rsid w:val="007230E1"/>
    <w:rsid w:val="00723710"/>
    <w:rsid w:val="00723BD8"/>
    <w:rsid w:val="00724979"/>
    <w:rsid w:val="00724AD8"/>
    <w:rsid w:val="0072506A"/>
    <w:rsid w:val="00725842"/>
    <w:rsid w:val="007258C9"/>
    <w:rsid w:val="00727DC3"/>
    <w:rsid w:val="0073003A"/>
    <w:rsid w:val="00730080"/>
    <w:rsid w:val="00730807"/>
    <w:rsid w:val="007313B5"/>
    <w:rsid w:val="007324F9"/>
    <w:rsid w:val="00732D09"/>
    <w:rsid w:val="00732FA6"/>
    <w:rsid w:val="00733478"/>
    <w:rsid w:val="0073482F"/>
    <w:rsid w:val="00735A86"/>
    <w:rsid w:val="0073630C"/>
    <w:rsid w:val="007364B2"/>
    <w:rsid w:val="007379BD"/>
    <w:rsid w:val="0074193E"/>
    <w:rsid w:val="00741963"/>
    <w:rsid w:val="00741AE0"/>
    <w:rsid w:val="00741F5E"/>
    <w:rsid w:val="00743A73"/>
    <w:rsid w:val="00743B3B"/>
    <w:rsid w:val="0074501B"/>
    <w:rsid w:val="00745141"/>
    <w:rsid w:val="0074701F"/>
    <w:rsid w:val="007475B2"/>
    <w:rsid w:val="0074776E"/>
    <w:rsid w:val="007500A9"/>
    <w:rsid w:val="00750639"/>
    <w:rsid w:val="00751C45"/>
    <w:rsid w:val="00751CEA"/>
    <w:rsid w:val="00753E58"/>
    <w:rsid w:val="00756065"/>
    <w:rsid w:val="0075701E"/>
    <w:rsid w:val="007572B3"/>
    <w:rsid w:val="00757EDE"/>
    <w:rsid w:val="007612F6"/>
    <w:rsid w:val="00761375"/>
    <w:rsid w:val="00761B0F"/>
    <w:rsid w:val="00763AC1"/>
    <w:rsid w:val="00763E27"/>
    <w:rsid w:val="007650B8"/>
    <w:rsid w:val="007653EE"/>
    <w:rsid w:val="007667F3"/>
    <w:rsid w:val="0076705B"/>
    <w:rsid w:val="00770A1A"/>
    <w:rsid w:val="0077165F"/>
    <w:rsid w:val="00773589"/>
    <w:rsid w:val="0077363D"/>
    <w:rsid w:val="007737B4"/>
    <w:rsid w:val="00773A28"/>
    <w:rsid w:val="00774995"/>
    <w:rsid w:val="00774DFE"/>
    <w:rsid w:val="00775BBF"/>
    <w:rsid w:val="00775C92"/>
    <w:rsid w:val="00777E09"/>
    <w:rsid w:val="00780248"/>
    <w:rsid w:val="00780AB4"/>
    <w:rsid w:val="007816EE"/>
    <w:rsid w:val="00781769"/>
    <w:rsid w:val="00782777"/>
    <w:rsid w:val="00782A9A"/>
    <w:rsid w:val="007830F5"/>
    <w:rsid w:val="00783826"/>
    <w:rsid w:val="00785499"/>
    <w:rsid w:val="007859C3"/>
    <w:rsid w:val="00785C6C"/>
    <w:rsid w:val="00786B0E"/>
    <w:rsid w:val="00786E7B"/>
    <w:rsid w:val="0078759D"/>
    <w:rsid w:val="00790CBC"/>
    <w:rsid w:val="00790DC1"/>
    <w:rsid w:val="00790E55"/>
    <w:rsid w:val="0079363C"/>
    <w:rsid w:val="007941B2"/>
    <w:rsid w:val="00794256"/>
    <w:rsid w:val="00794899"/>
    <w:rsid w:val="00794B04"/>
    <w:rsid w:val="007A0048"/>
    <w:rsid w:val="007A11AA"/>
    <w:rsid w:val="007A1554"/>
    <w:rsid w:val="007A1F06"/>
    <w:rsid w:val="007A3FD9"/>
    <w:rsid w:val="007A458B"/>
    <w:rsid w:val="007A5A44"/>
    <w:rsid w:val="007A685F"/>
    <w:rsid w:val="007A6FDB"/>
    <w:rsid w:val="007A7672"/>
    <w:rsid w:val="007A79E5"/>
    <w:rsid w:val="007B298C"/>
    <w:rsid w:val="007B2AA0"/>
    <w:rsid w:val="007B407E"/>
    <w:rsid w:val="007B43C2"/>
    <w:rsid w:val="007B4EB0"/>
    <w:rsid w:val="007B5869"/>
    <w:rsid w:val="007B7B31"/>
    <w:rsid w:val="007C25FB"/>
    <w:rsid w:val="007C2A41"/>
    <w:rsid w:val="007C3C2C"/>
    <w:rsid w:val="007C3D3A"/>
    <w:rsid w:val="007C47C0"/>
    <w:rsid w:val="007C4822"/>
    <w:rsid w:val="007C528F"/>
    <w:rsid w:val="007C568D"/>
    <w:rsid w:val="007C622C"/>
    <w:rsid w:val="007C7DDD"/>
    <w:rsid w:val="007D0808"/>
    <w:rsid w:val="007D3261"/>
    <w:rsid w:val="007D3793"/>
    <w:rsid w:val="007D3CA6"/>
    <w:rsid w:val="007D4A82"/>
    <w:rsid w:val="007D4E05"/>
    <w:rsid w:val="007D5A58"/>
    <w:rsid w:val="007E0432"/>
    <w:rsid w:val="007E0D02"/>
    <w:rsid w:val="007E0F6A"/>
    <w:rsid w:val="007E2361"/>
    <w:rsid w:val="007E570C"/>
    <w:rsid w:val="007E63AB"/>
    <w:rsid w:val="007E797D"/>
    <w:rsid w:val="007E7ABF"/>
    <w:rsid w:val="007E7FDA"/>
    <w:rsid w:val="007F2A71"/>
    <w:rsid w:val="007F2F39"/>
    <w:rsid w:val="007F36B4"/>
    <w:rsid w:val="007F5221"/>
    <w:rsid w:val="007F67C6"/>
    <w:rsid w:val="00800942"/>
    <w:rsid w:val="00800AFE"/>
    <w:rsid w:val="00800C03"/>
    <w:rsid w:val="008019E0"/>
    <w:rsid w:val="00801A54"/>
    <w:rsid w:val="008032C4"/>
    <w:rsid w:val="008050D0"/>
    <w:rsid w:val="0080525F"/>
    <w:rsid w:val="00805496"/>
    <w:rsid w:val="008066B4"/>
    <w:rsid w:val="00806EC2"/>
    <w:rsid w:val="00807D65"/>
    <w:rsid w:val="00810F92"/>
    <w:rsid w:val="00812551"/>
    <w:rsid w:val="008127F2"/>
    <w:rsid w:val="00813317"/>
    <w:rsid w:val="00813C20"/>
    <w:rsid w:val="00813CF2"/>
    <w:rsid w:val="008149A2"/>
    <w:rsid w:val="00814EB9"/>
    <w:rsid w:val="008158E7"/>
    <w:rsid w:val="00815BE3"/>
    <w:rsid w:val="008172A5"/>
    <w:rsid w:val="008224B8"/>
    <w:rsid w:val="00822EB7"/>
    <w:rsid w:val="00823724"/>
    <w:rsid w:val="00824A4E"/>
    <w:rsid w:val="008255B1"/>
    <w:rsid w:val="008265F0"/>
    <w:rsid w:val="00826FC5"/>
    <w:rsid w:val="0083068D"/>
    <w:rsid w:val="0083189C"/>
    <w:rsid w:val="00831B52"/>
    <w:rsid w:val="00831D5A"/>
    <w:rsid w:val="008340DF"/>
    <w:rsid w:val="00834D0E"/>
    <w:rsid w:val="00834F1D"/>
    <w:rsid w:val="008354D0"/>
    <w:rsid w:val="00836DA9"/>
    <w:rsid w:val="00836F10"/>
    <w:rsid w:val="00836F4D"/>
    <w:rsid w:val="00837722"/>
    <w:rsid w:val="008377CE"/>
    <w:rsid w:val="0084150A"/>
    <w:rsid w:val="00841928"/>
    <w:rsid w:val="008425D4"/>
    <w:rsid w:val="00843776"/>
    <w:rsid w:val="00843B05"/>
    <w:rsid w:val="00843E2D"/>
    <w:rsid w:val="00844131"/>
    <w:rsid w:val="0084416D"/>
    <w:rsid w:val="00844D3A"/>
    <w:rsid w:val="008456BB"/>
    <w:rsid w:val="00845AFA"/>
    <w:rsid w:val="00845B7A"/>
    <w:rsid w:val="0084613A"/>
    <w:rsid w:val="00847FEC"/>
    <w:rsid w:val="008527BA"/>
    <w:rsid w:val="00854DA7"/>
    <w:rsid w:val="00855013"/>
    <w:rsid w:val="00855BB3"/>
    <w:rsid w:val="00856234"/>
    <w:rsid w:val="008576BD"/>
    <w:rsid w:val="00857E8E"/>
    <w:rsid w:val="00860FFA"/>
    <w:rsid w:val="0086145E"/>
    <w:rsid w:val="00861FAD"/>
    <w:rsid w:val="00863D1E"/>
    <w:rsid w:val="00863D4A"/>
    <w:rsid w:val="00864C18"/>
    <w:rsid w:val="00864ECB"/>
    <w:rsid w:val="00865252"/>
    <w:rsid w:val="0086697B"/>
    <w:rsid w:val="00866ECE"/>
    <w:rsid w:val="00870773"/>
    <w:rsid w:val="00870B64"/>
    <w:rsid w:val="0087292E"/>
    <w:rsid w:val="00872968"/>
    <w:rsid w:val="00872BF3"/>
    <w:rsid w:val="00873FE9"/>
    <w:rsid w:val="0087582A"/>
    <w:rsid w:val="008776F7"/>
    <w:rsid w:val="00877CF3"/>
    <w:rsid w:val="0088043C"/>
    <w:rsid w:val="008819E1"/>
    <w:rsid w:val="0088206A"/>
    <w:rsid w:val="00882A4C"/>
    <w:rsid w:val="00885071"/>
    <w:rsid w:val="00885A30"/>
    <w:rsid w:val="008863D6"/>
    <w:rsid w:val="00890FB5"/>
    <w:rsid w:val="00891A1E"/>
    <w:rsid w:val="00892E3B"/>
    <w:rsid w:val="00893B15"/>
    <w:rsid w:val="00893DE5"/>
    <w:rsid w:val="00894297"/>
    <w:rsid w:val="008943B5"/>
    <w:rsid w:val="008948A1"/>
    <w:rsid w:val="0089495B"/>
    <w:rsid w:val="008952AE"/>
    <w:rsid w:val="0089658D"/>
    <w:rsid w:val="008979D3"/>
    <w:rsid w:val="008A1451"/>
    <w:rsid w:val="008A275E"/>
    <w:rsid w:val="008A286A"/>
    <w:rsid w:val="008A292F"/>
    <w:rsid w:val="008A46FD"/>
    <w:rsid w:val="008A72D2"/>
    <w:rsid w:val="008B0FDB"/>
    <w:rsid w:val="008B124D"/>
    <w:rsid w:val="008B31FD"/>
    <w:rsid w:val="008B3A10"/>
    <w:rsid w:val="008B3B61"/>
    <w:rsid w:val="008B3CE4"/>
    <w:rsid w:val="008B6CBF"/>
    <w:rsid w:val="008C13EA"/>
    <w:rsid w:val="008C1AA8"/>
    <w:rsid w:val="008C208C"/>
    <w:rsid w:val="008C3239"/>
    <w:rsid w:val="008C339D"/>
    <w:rsid w:val="008C4366"/>
    <w:rsid w:val="008C73F2"/>
    <w:rsid w:val="008C79A7"/>
    <w:rsid w:val="008C7F36"/>
    <w:rsid w:val="008D0538"/>
    <w:rsid w:val="008D0DBB"/>
    <w:rsid w:val="008D1D4D"/>
    <w:rsid w:val="008D3015"/>
    <w:rsid w:val="008D3046"/>
    <w:rsid w:val="008D3061"/>
    <w:rsid w:val="008D5B31"/>
    <w:rsid w:val="008D6208"/>
    <w:rsid w:val="008D75FB"/>
    <w:rsid w:val="008D76BD"/>
    <w:rsid w:val="008D7D38"/>
    <w:rsid w:val="008E0D5B"/>
    <w:rsid w:val="008E2958"/>
    <w:rsid w:val="008E4A06"/>
    <w:rsid w:val="008E4DB8"/>
    <w:rsid w:val="008E5C1E"/>
    <w:rsid w:val="008E6616"/>
    <w:rsid w:val="008E7495"/>
    <w:rsid w:val="008E7977"/>
    <w:rsid w:val="008E7C63"/>
    <w:rsid w:val="008F0047"/>
    <w:rsid w:val="008F21EC"/>
    <w:rsid w:val="008F2500"/>
    <w:rsid w:val="008F2F6F"/>
    <w:rsid w:val="008F3AC0"/>
    <w:rsid w:val="008F61CA"/>
    <w:rsid w:val="00900661"/>
    <w:rsid w:val="009010CE"/>
    <w:rsid w:val="009013E3"/>
    <w:rsid w:val="00901939"/>
    <w:rsid w:val="00901C72"/>
    <w:rsid w:val="00902C76"/>
    <w:rsid w:val="00903B99"/>
    <w:rsid w:val="00903BB9"/>
    <w:rsid w:val="009040EA"/>
    <w:rsid w:val="0090460E"/>
    <w:rsid w:val="009058A2"/>
    <w:rsid w:val="0090642E"/>
    <w:rsid w:val="00906D7F"/>
    <w:rsid w:val="00907176"/>
    <w:rsid w:val="0090752D"/>
    <w:rsid w:val="00907E03"/>
    <w:rsid w:val="00910040"/>
    <w:rsid w:val="00911367"/>
    <w:rsid w:val="00911EA1"/>
    <w:rsid w:val="0091221E"/>
    <w:rsid w:val="00913583"/>
    <w:rsid w:val="0091485A"/>
    <w:rsid w:val="00914FE0"/>
    <w:rsid w:val="009150EF"/>
    <w:rsid w:val="00915815"/>
    <w:rsid w:val="009160E2"/>
    <w:rsid w:val="009168A5"/>
    <w:rsid w:val="009168AD"/>
    <w:rsid w:val="00916C54"/>
    <w:rsid w:val="0091764E"/>
    <w:rsid w:val="009179EB"/>
    <w:rsid w:val="00920B23"/>
    <w:rsid w:val="00921087"/>
    <w:rsid w:val="009210CA"/>
    <w:rsid w:val="00921316"/>
    <w:rsid w:val="00921925"/>
    <w:rsid w:val="00922AC5"/>
    <w:rsid w:val="009233C0"/>
    <w:rsid w:val="00923DE5"/>
    <w:rsid w:val="00924895"/>
    <w:rsid w:val="00924B05"/>
    <w:rsid w:val="009255B2"/>
    <w:rsid w:val="00925602"/>
    <w:rsid w:val="00926726"/>
    <w:rsid w:val="0092689D"/>
    <w:rsid w:val="009268E8"/>
    <w:rsid w:val="00927350"/>
    <w:rsid w:val="00930AB4"/>
    <w:rsid w:val="00931974"/>
    <w:rsid w:val="009320BD"/>
    <w:rsid w:val="00932FC3"/>
    <w:rsid w:val="009340D6"/>
    <w:rsid w:val="00937B15"/>
    <w:rsid w:val="009405F8"/>
    <w:rsid w:val="009419FD"/>
    <w:rsid w:val="00941B00"/>
    <w:rsid w:val="00941D4D"/>
    <w:rsid w:val="009420E8"/>
    <w:rsid w:val="00942BE4"/>
    <w:rsid w:val="00943ADE"/>
    <w:rsid w:val="00944F42"/>
    <w:rsid w:val="00945412"/>
    <w:rsid w:val="0094579B"/>
    <w:rsid w:val="0094608E"/>
    <w:rsid w:val="00946172"/>
    <w:rsid w:val="00946CF4"/>
    <w:rsid w:val="00947039"/>
    <w:rsid w:val="009473D9"/>
    <w:rsid w:val="00950DB3"/>
    <w:rsid w:val="00953CC0"/>
    <w:rsid w:val="00954415"/>
    <w:rsid w:val="009545EA"/>
    <w:rsid w:val="0095482B"/>
    <w:rsid w:val="00954CB4"/>
    <w:rsid w:val="00954D5B"/>
    <w:rsid w:val="009550E3"/>
    <w:rsid w:val="00955E85"/>
    <w:rsid w:val="00956437"/>
    <w:rsid w:val="00960010"/>
    <w:rsid w:val="009601EC"/>
    <w:rsid w:val="009602EE"/>
    <w:rsid w:val="00960761"/>
    <w:rsid w:val="009609B2"/>
    <w:rsid w:val="00960D36"/>
    <w:rsid w:val="009626C9"/>
    <w:rsid w:val="00962757"/>
    <w:rsid w:val="009629C6"/>
    <w:rsid w:val="0096303C"/>
    <w:rsid w:val="0096304A"/>
    <w:rsid w:val="009639CA"/>
    <w:rsid w:val="00964DC6"/>
    <w:rsid w:val="00965DEC"/>
    <w:rsid w:val="00966580"/>
    <w:rsid w:val="009679DA"/>
    <w:rsid w:val="0097106E"/>
    <w:rsid w:val="00971A4E"/>
    <w:rsid w:val="009736EA"/>
    <w:rsid w:val="0097393D"/>
    <w:rsid w:val="00973FDC"/>
    <w:rsid w:val="00974BEC"/>
    <w:rsid w:val="009774FE"/>
    <w:rsid w:val="00977C90"/>
    <w:rsid w:val="00977FE5"/>
    <w:rsid w:val="009800FF"/>
    <w:rsid w:val="009837A4"/>
    <w:rsid w:val="0098450C"/>
    <w:rsid w:val="009850B6"/>
    <w:rsid w:val="00985CC4"/>
    <w:rsid w:val="00990C5F"/>
    <w:rsid w:val="00990F1B"/>
    <w:rsid w:val="00991165"/>
    <w:rsid w:val="00992EE6"/>
    <w:rsid w:val="00993956"/>
    <w:rsid w:val="00994717"/>
    <w:rsid w:val="009948C4"/>
    <w:rsid w:val="00995370"/>
    <w:rsid w:val="00995DA9"/>
    <w:rsid w:val="009977E5"/>
    <w:rsid w:val="00997BA4"/>
    <w:rsid w:val="009A1137"/>
    <w:rsid w:val="009A1213"/>
    <w:rsid w:val="009A14F9"/>
    <w:rsid w:val="009A1D9B"/>
    <w:rsid w:val="009A21B1"/>
    <w:rsid w:val="009A3679"/>
    <w:rsid w:val="009A3943"/>
    <w:rsid w:val="009A3C70"/>
    <w:rsid w:val="009A4194"/>
    <w:rsid w:val="009A48AA"/>
    <w:rsid w:val="009A49AD"/>
    <w:rsid w:val="009A5F9F"/>
    <w:rsid w:val="009A7298"/>
    <w:rsid w:val="009B1593"/>
    <w:rsid w:val="009B18E5"/>
    <w:rsid w:val="009B1968"/>
    <w:rsid w:val="009B1F78"/>
    <w:rsid w:val="009B32E9"/>
    <w:rsid w:val="009B41DA"/>
    <w:rsid w:val="009B4255"/>
    <w:rsid w:val="009C0C68"/>
    <w:rsid w:val="009C175C"/>
    <w:rsid w:val="009C1FD8"/>
    <w:rsid w:val="009C2836"/>
    <w:rsid w:val="009C2A20"/>
    <w:rsid w:val="009C35D7"/>
    <w:rsid w:val="009C4B45"/>
    <w:rsid w:val="009C4E90"/>
    <w:rsid w:val="009C5185"/>
    <w:rsid w:val="009C7144"/>
    <w:rsid w:val="009C7CFB"/>
    <w:rsid w:val="009C7F40"/>
    <w:rsid w:val="009D08DE"/>
    <w:rsid w:val="009D0F4E"/>
    <w:rsid w:val="009D0FE3"/>
    <w:rsid w:val="009D18E7"/>
    <w:rsid w:val="009D190E"/>
    <w:rsid w:val="009D1E5A"/>
    <w:rsid w:val="009D3355"/>
    <w:rsid w:val="009D4C37"/>
    <w:rsid w:val="009D4D84"/>
    <w:rsid w:val="009D6DBA"/>
    <w:rsid w:val="009D6EDA"/>
    <w:rsid w:val="009D717D"/>
    <w:rsid w:val="009E080E"/>
    <w:rsid w:val="009E2417"/>
    <w:rsid w:val="009E2568"/>
    <w:rsid w:val="009E2C22"/>
    <w:rsid w:val="009E4727"/>
    <w:rsid w:val="009E4A61"/>
    <w:rsid w:val="009E4AD4"/>
    <w:rsid w:val="009E4B2B"/>
    <w:rsid w:val="009E5148"/>
    <w:rsid w:val="009E5658"/>
    <w:rsid w:val="009E5CAE"/>
    <w:rsid w:val="009E6189"/>
    <w:rsid w:val="009E788D"/>
    <w:rsid w:val="009E7A21"/>
    <w:rsid w:val="009F00E7"/>
    <w:rsid w:val="009F05F5"/>
    <w:rsid w:val="009F0DF0"/>
    <w:rsid w:val="009F1892"/>
    <w:rsid w:val="009F1C7C"/>
    <w:rsid w:val="009F2005"/>
    <w:rsid w:val="009F26AC"/>
    <w:rsid w:val="009F361E"/>
    <w:rsid w:val="009F3AF7"/>
    <w:rsid w:val="009F3E30"/>
    <w:rsid w:val="009F3E9F"/>
    <w:rsid w:val="009F44EC"/>
    <w:rsid w:val="009F4F54"/>
    <w:rsid w:val="009F53D4"/>
    <w:rsid w:val="009F53FC"/>
    <w:rsid w:val="009F5DFB"/>
    <w:rsid w:val="00A01F0D"/>
    <w:rsid w:val="00A01FF9"/>
    <w:rsid w:val="00A02495"/>
    <w:rsid w:val="00A02958"/>
    <w:rsid w:val="00A0398C"/>
    <w:rsid w:val="00A03C54"/>
    <w:rsid w:val="00A04953"/>
    <w:rsid w:val="00A05856"/>
    <w:rsid w:val="00A05FD1"/>
    <w:rsid w:val="00A06327"/>
    <w:rsid w:val="00A06CCB"/>
    <w:rsid w:val="00A06FC6"/>
    <w:rsid w:val="00A07B03"/>
    <w:rsid w:val="00A106E4"/>
    <w:rsid w:val="00A11095"/>
    <w:rsid w:val="00A112F7"/>
    <w:rsid w:val="00A12069"/>
    <w:rsid w:val="00A12D57"/>
    <w:rsid w:val="00A164BA"/>
    <w:rsid w:val="00A170E4"/>
    <w:rsid w:val="00A1754F"/>
    <w:rsid w:val="00A17C41"/>
    <w:rsid w:val="00A21A22"/>
    <w:rsid w:val="00A23048"/>
    <w:rsid w:val="00A23BF5"/>
    <w:rsid w:val="00A23E7A"/>
    <w:rsid w:val="00A24347"/>
    <w:rsid w:val="00A24F26"/>
    <w:rsid w:val="00A24F2E"/>
    <w:rsid w:val="00A2791C"/>
    <w:rsid w:val="00A27A80"/>
    <w:rsid w:val="00A27EF8"/>
    <w:rsid w:val="00A30BA1"/>
    <w:rsid w:val="00A3126A"/>
    <w:rsid w:val="00A31823"/>
    <w:rsid w:val="00A32C4E"/>
    <w:rsid w:val="00A334C5"/>
    <w:rsid w:val="00A336AB"/>
    <w:rsid w:val="00A35499"/>
    <w:rsid w:val="00A3596F"/>
    <w:rsid w:val="00A360D3"/>
    <w:rsid w:val="00A36420"/>
    <w:rsid w:val="00A3677B"/>
    <w:rsid w:val="00A36956"/>
    <w:rsid w:val="00A36ADB"/>
    <w:rsid w:val="00A42382"/>
    <w:rsid w:val="00A42487"/>
    <w:rsid w:val="00A430FE"/>
    <w:rsid w:val="00A443A3"/>
    <w:rsid w:val="00A445E3"/>
    <w:rsid w:val="00A45514"/>
    <w:rsid w:val="00A456A5"/>
    <w:rsid w:val="00A460ED"/>
    <w:rsid w:val="00A46B54"/>
    <w:rsid w:val="00A4725C"/>
    <w:rsid w:val="00A4761A"/>
    <w:rsid w:val="00A4794A"/>
    <w:rsid w:val="00A47C4F"/>
    <w:rsid w:val="00A51C42"/>
    <w:rsid w:val="00A52D0D"/>
    <w:rsid w:val="00A52F1C"/>
    <w:rsid w:val="00A536B3"/>
    <w:rsid w:val="00A54A8E"/>
    <w:rsid w:val="00A5531D"/>
    <w:rsid w:val="00A555AE"/>
    <w:rsid w:val="00A55CC5"/>
    <w:rsid w:val="00A56185"/>
    <w:rsid w:val="00A614A6"/>
    <w:rsid w:val="00A6279F"/>
    <w:rsid w:val="00A6297F"/>
    <w:rsid w:val="00A62C1F"/>
    <w:rsid w:val="00A632D8"/>
    <w:rsid w:val="00A63645"/>
    <w:rsid w:val="00A6539F"/>
    <w:rsid w:val="00A65DE7"/>
    <w:rsid w:val="00A65F50"/>
    <w:rsid w:val="00A71DC7"/>
    <w:rsid w:val="00A72217"/>
    <w:rsid w:val="00A72A78"/>
    <w:rsid w:val="00A72BD7"/>
    <w:rsid w:val="00A7311E"/>
    <w:rsid w:val="00A73A61"/>
    <w:rsid w:val="00A73DAC"/>
    <w:rsid w:val="00A74A00"/>
    <w:rsid w:val="00A74F55"/>
    <w:rsid w:val="00A76653"/>
    <w:rsid w:val="00A76F2F"/>
    <w:rsid w:val="00A77743"/>
    <w:rsid w:val="00A77763"/>
    <w:rsid w:val="00A77B25"/>
    <w:rsid w:val="00A77E9D"/>
    <w:rsid w:val="00A804BA"/>
    <w:rsid w:val="00A80AEF"/>
    <w:rsid w:val="00A8115C"/>
    <w:rsid w:val="00A81B62"/>
    <w:rsid w:val="00A81BE2"/>
    <w:rsid w:val="00A820DB"/>
    <w:rsid w:val="00A824F6"/>
    <w:rsid w:val="00A82603"/>
    <w:rsid w:val="00A82681"/>
    <w:rsid w:val="00A83131"/>
    <w:rsid w:val="00A8605C"/>
    <w:rsid w:val="00A862B6"/>
    <w:rsid w:val="00A8671C"/>
    <w:rsid w:val="00A868DA"/>
    <w:rsid w:val="00A86BE5"/>
    <w:rsid w:val="00A86C4E"/>
    <w:rsid w:val="00A86D8E"/>
    <w:rsid w:val="00A87337"/>
    <w:rsid w:val="00A87984"/>
    <w:rsid w:val="00A90FE1"/>
    <w:rsid w:val="00A91C40"/>
    <w:rsid w:val="00A91F65"/>
    <w:rsid w:val="00A921DC"/>
    <w:rsid w:val="00A93C66"/>
    <w:rsid w:val="00A94E2A"/>
    <w:rsid w:val="00A9556C"/>
    <w:rsid w:val="00A9670A"/>
    <w:rsid w:val="00A9709B"/>
    <w:rsid w:val="00A978E0"/>
    <w:rsid w:val="00AA0426"/>
    <w:rsid w:val="00AA0537"/>
    <w:rsid w:val="00AA0C0F"/>
    <w:rsid w:val="00AA0C1B"/>
    <w:rsid w:val="00AA138A"/>
    <w:rsid w:val="00AA3D67"/>
    <w:rsid w:val="00AA4FD4"/>
    <w:rsid w:val="00AA5D79"/>
    <w:rsid w:val="00AA5F83"/>
    <w:rsid w:val="00AA75C7"/>
    <w:rsid w:val="00AB0E78"/>
    <w:rsid w:val="00AB1125"/>
    <w:rsid w:val="00AB1419"/>
    <w:rsid w:val="00AB1E68"/>
    <w:rsid w:val="00AB21A1"/>
    <w:rsid w:val="00AB3109"/>
    <w:rsid w:val="00AB530B"/>
    <w:rsid w:val="00AB61A7"/>
    <w:rsid w:val="00AC03EC"/>
    <w:rsid w:val="00AC182B"/>
    <w:rsid w:val="00AC207B"/>
    <w:rsid w:val="00AC28A4"/>
    <w:rsid w:val="00AC3B59"/>
    <w:rsid w:val="00AC3ED6"/>
    <w:rsid w:val="00AC41D2"/>
    <w:rsid w:val="00AC53FE"/>
    <w:rsid w:val="00AC568B"/>
    <w:rsid w:val="00AC5A3D"/>
    <w:rsid w:val="00AC5C3A"/>
    <w:rsid w:val="00AC6F12"/>
    <w:rsid w:val="00AC719D"/>
    <w:rsid w:val="00AC74B6"/>
    <w:rsid w:val="00AC7C7C"/>
    <w:rsid w:val="00AD0068"/>
    <w:rsid w:val="00AD00DE"/>
    <w:rsid w:val="00AD0694"/>
    <w:rsid w:val="00AD0CEC"/>
    <w:rsid w:val="00AD2158"/>
    <w:rsid w:val="00AD2C2D"/>
    <w:rsid w:val="00AD32CB"/>
    <w:rsid w:val="00AD3BBA"/>
    <w:rsid w:val="00AD52D5"/>
    <w:rsid w:val="00AD5C71"/>
    <w:rsid w:val="00AD6477"/>
    <w:rsid w:val="00AE1B08"/>
    <w:rsid w:val="00AE1F12"/>
    <w:rsid w:val="00AE2047"/>
    <w:rsid w:val="00AE2066"/>
    <w:rsid w:val="00AE4875"/>
    <w:rsid w:val="00AE5219"/>
    <w:rsid w:val="00AE59DC"/>
    <w:rsid w:val="00AE5F0F"/>
    <w:rsid w:val="00AE60B1"/>
    <w:rsid w:val="00AE7C54"/>
    <w:rsid w:val="00AF0CE0"/>
    <w:rsid w:val="00AF0E54"/>
    <w:rsid w:val="00AF25A6"/>
    <w:rsid w:val="00AF2B09"/>
    <w:rsid w:val="00AF6062"/>
    <w:rsid w:val="00AF7764"/>
    <w:rsid w:val="00AF7CA3"/>
    <w:rsid w:val="00B00921"/>
    <w:rsid w:val="00B01573"/>
    <w:rsid w:val="00B01B6F"/>
    <w:rsid w:val="00B01F38"/>
    <w:rsid w:val="00B02567"/>
    <w:rsid w:val="00B02DA1"/>
    <w:rsid w:val="00B03441"/>
    <w:rsid w:val="00B039FA"/>
    <w:rsid w:val="00B04F33"/>
    <w:rsid w:val="00B0540D"/>
    <w:rsid w:val="00B05783"/>
    <w:rsid w:val="00B05B6C"/>
    <w:rsid w:val="00B0655A"/>
    <w:rsid w:val="00B0717D"/>
    <w:rsid w:val="00B073C6"/>
    <w:rsid w:val="00B103D8"/>
    <w:rsid w:val="00B10404"/>
    <w:rsid w:val="00B10670"/>
    <w:rsid w:val="00B10F8E"/>
    <w:rsid w:val="00B13753"/>
    <w:rsid w:val="00B15C3F"/>
    <w:rsid w:val="00B15D9A"/>
    <w:rsid w:val="00B16AEC"/>
    <w:rsid w:val="00B1715B"/>
    <w:rsid w:val="00B17F79"/>
    <w:rsid w:val="00B20D3B"/>
    <w:rsid w:val="00B22C5F"/>
    <w:rsid w:val="00B238AC"/>
    <w:rsid w:val="00B243C0"/>
    <w:rsid w:val="00B24828"/>
    <w:rsid w:val="00B252AE"/>
    <w:rsid w:val="00B25645"/>
    <w:rsid w:val="00B27CF9"/>
    <w:rsid w:val="00B302F3"/>
    <w:rsid w:val="00B305CF"/>
    <w:rsid w:val="00B328D1"/>
    <w:rsid w:val="00B33B2B"/>
    <w:rsid w:val="00B34899"/>
    <w:rsid w:val="00B353B4"/>
    <w:rsid w:val="00B353B9"/>
    <w:rsid w:val="00B4092C"/>
    <w:rsid w:val="00B41A18"/>
    <w:rsid w:val="00B41EF2"/>
    <w:rsid w:val="00B42E85"/>
    <w:rsid w:val="00B45981"/>
    <w:rsid w:val="00B46E86"/>
    <w:rsid w:val="00B47F7A"/>
    <w:rsid w:val="00B515D2"/>
    <w:rsid w:val="00B51F9A"/>
    <w:rsid w:val="00B52439"/>
    <w:rsid w:val="00B53980"/>
    <w:rsid w:val="00B54037"/>
    <w:rsid w:val="00B55823"/>
    <w:rsid w:val="00B55F9F"/>
    <w:rsid w:val="00B56427"/>
    <w:rsid w:val="00B567D2"/>
    <w:rsid w:val="00B56E57"/>
    <w:rsid w:val="00B60B39"/>
    <w:rsid w:val="00B6127F"/>
    <w:rsid w:val="00B621AA"/>
    <w:rsid w:val="00B64A8D"/>
    <w:rsid w:val="00B64E1D"/>
    <w:rsid w:val="00B65633"/>
    <w:rsid w:val="00B65F4E"/>
    <w:rsid w:val="00B703D7"/>
    <w:rsid w:val="00B71C48"/>
    <w:rsid w:val="00B74FC9"/>
    <w:rsid w:val="00B77846"/>
    <w:rsid w:val="00B779E0"/>
    <w:rsid w:val="00B80A66"/>
    <w:rsid w:val="00B82736"/>
    <w:rsid w:val="00B83785"/>
    <w:rsid w:val="00B83793"/>
    <w:rsid w:val="00B85099"/>
    <w:rsid w:val="00B85561"/>
    <w:rsid w:val="00B86068"/>
    <w:rsid w:val="00B8680A"/>
    <w:rsid w:val="00B86E0E"/>
    <w:rsid w:val="00B90BA4"/>
    <w:rsid w:val="00B91380"/>
    <w:rsid w:val="00B91DB3"/>
    <w:rsid w:val="00B92468"/>
    <w:rsid w:val="00B9246B"/>
    <w:rsid w:val="00B92876"/>
    <w:rsid w:val="00B93881"/>
    <w:rsid w:val="00B93A18"/>
    <w:rsid w:val="00B93C3B"/>
    <w:rsid w:val="00B94E1F"/>
    <w:rsid w:val="00B96780"/>
    <w:rsid w:val="00B96BE7"/>
    <w:rsid w:val="00B9722E"/>
    <w:rsid w:val="00BA030A"/>
    <w:rsid w:val="00BA061A"/>
    <w:rsid w:val="00BA33F2"/>
    <w:rsid w:val="00BA4107"/>
    <w:rsid w:val="00BA4D54"/>
    <w:rsid w:val="00BA4DF8"/>
    <w:rsid w:val="00BA4F5E"/>
    <w:rsid w:val="00BA5EDF"/>
    <w:rsid w:val="00BA62E4"/>
    <w:rsid w:val="00BA64BE"/>
    <w:rsid w:val="00BA65EF"/>
    <w:rsid w:val="00BA6FB9"/>
    <w:rsid w:val="00BB04BB"/>
    <w:rsid w:val="00BB1037"/>
    <w:rsid w:val="00BB160C"/>
    <w:rsid w:val="00BB17D5"/>
    <w:rsid w:val="00BB1844"/>
    <w:rsid w:val="00BB262B"/>
    <w:rsid w:val="00BB2B70"/>
    <w:rsid w:val="00BB3144"/>
    <w:rsid w:val="00BB4AA5"/>
    <w:rsid w:val="00BB4C7F"/>
    <w:rsid w:val="00BB4D27"/>
    <w:rsid w:val="00BB6D61"/>
    <w:rsid w:val="00BB744D"/>
    <w:rsid w:val="00BC11F6"/>
    <w:rsid w:val="00BC1EC4"/>
    <w:rsid w:val="00BC2503"/>
    <w:rsid w:val="00BC280A"/>
    <w:rsid w:val="00BC2B1D"/>
    <w:rsid w:val="00BC4744"/>
    <w:rsid w:val="00BC4E00"/>
    <w:rsid w:val="00BC5403"/>
    <w:rsid w:val="00BC6C13"/>
    <w:rsid w:val="00BC72AC"/>
    <w:rsid w:val="00BC799B"/>
    <w:rsid w:val="00BD10C6"/>
    <w:rsid w:val="00BD2024"/>
    <w:rsid w:val="00BD2A80"/>
    <w:rsid w:val="00BD4340"/>
    <w:rsid w:val="00BD4400"/>
    <w:rsid w:val="00BD4DEC"/>
    <w:rsid w:val="00BD5619"/>
    <w:rsid w:val="00BD59A2"/>
    <w:rsid w:val="00BD6170"/>
    <w:rsid w:val="00BD62F4"/>
    <w:rsid w:val="00BD7356"/>
    <w:rsid w:val="00BD7BF9"/>
    <w:rsid w:val="00BE03C0"/>
    <w:rsid w:val="00BE0F7F"/>
    <w:rsid w:val="00BE24FA"/>
    <w:rsid w:val="00BE287B"/>
    <w:rsid w:val="00BE2B89"/>
    <w:rsid w:val="00BE42ED"/>
    <w:rsid w:val="00BE5862"/>
    <w:rsid w:val="00BE5C39"/>
    <w:rsid w:val="00BE704D"/>
    <w:rsid w:val="00BE7389"/>
    <w:rsid w:val="00BE7A58"/>
    <w:rsid w:val="00BE7DCA"/>
    <w:rsid w:val="00BF2B51"/>
    <w:rsid w:val="00BF2C59"/>
    <w:rsid w:val="00BF3B79"/>
    <w:rsid w:val="00BF3C43"/>
    <w:rsid w:val="00BF46F5"/>
    <w:rsid w:val="00BF4790"/>
    <w:rsid w:val="00BF4B17"/>
    <w:rsid w:val="00BF4F77"/>
    <w:rsid w:val="00BF5487"/>
    <w:rsid w:val="00BF7064"/>
    <w:rsid w:val="00C00C29"/>
    <w:rsid w:val="00C00E84"/>
    <w:rsid w:val="00C0270A"/>
    <w:rsid w:val="00C05AFD"/>
    <w:rsid w:val="00C05B96"/>
    <w:rsid w:val="00C060E7"/>
    <w:rsid w:val="00C068CF"/>
    <w:rsid w:val="00C121B1"/>
    <w:rsid w:val="00C142DB"/>
    <w:rsid w:val="00C148A0"/>
    <w:rsid w:val="00C14A9B"/>
    <w:rsid w:val="00C15612"/>
    <w:rsid w:val="00C15685"/>
    <w:rsid w:val="00C2288E"/>
    <w:rsid w:val="00C23E34"/>
    <w:rsid w:val="00C24CB4"/>
    <w:rsid w:val="00C269AC"/>
    <w:rsid w:val="00C26F50"/>
    <w:rsid w:val="00C2723E"/>
    <w:rsid w:val="00C3054D"/>
    <w:rsid w:val="00C307BD"/>
    <w:rsid w:val="00C316FC"/>
    <w:rsid w:val="00C32353"/>
    <w:rsid w:val="00C329D4"/>
    <w:rsid w:val="00C33FF0"/>
    <w:rsid w:val="00C340E9"/>
    <w:rsid w:val="00C350D7"/>
    <w:rsid w:val="00C35CF4"/>
    <w:rsid w:val="00C36E9F"/>
    <w:rsid w:val="00C37905"/>
    <w:rsid w:val="00C379F7"/>
    <w:rsid w:val="00C41497"/>
    <w:rsid w:val="00C414D0"/>
    <w:rsid w:val="00C43732"/>
    <w:rsid w:val="00C4390C"/>
    <w:rsid w:val="00C4404F"/>
    <w:rsid w:val="00C461AB"/>
    <w:rsid w:val="00C47638"/>
    <w:rsid w:val="00C501DB"/>
    <w:rsid w:val="00C5117F"/>
    <w:rsid w:val="00C518D2"/>
    <w:rsid w:val="00C53C7E"/>
    <w:rsid w:val="00C53F1E"/>
    <w:rsid w:val="00C53F7B"/>
    <w:rsid w:val="00C540B1"/>
    <w:rsid w:val="00C540F7"/>
    <w:rsid w:val="00C542B5"/>
    <w:rsid w:val="00C56A81"/>
    <w:rsid w:val="00C5792A"/>
    <w:rsid w:val="00C57DB7"/>
    <w:rsid w:val="00C6019F"/>
    <w:rsid w:val="00C6033E"/>
    <w:rsid w:val="00C60607"/>
    <w:rsid w:val="00C616F3"/>
    <w:rsid w:val="00C617C4"/>
    <w:rsid w:val="00C61AF4"/>
    <w:rsid w:val="00C62302"/>
    <w:rsid w:val="00C62933"/>
    <w:rsid w:val="00C62AE8"/>
    <w:rsid w:val="00C630F5"/>
    <w:rsid w:val="00C63294"/>
    <w:rsid w:val="00C64CE6"/>
    <w:rsid w:val="00C64E75"/>
    <w:rsid w:val="00C6595A"/>
    <w:rsid w:val="00C65BFD"/>
    <w:rsid w:val="00C65F4B"/>
    <w:rsid w:val="00C66873"/>
    <w:rsid w:val="00C66A90"/>
    <w:rsid w:val="00C674E3"/>
    <w:rsid w:val="00C70278"/>
    <w:rsid w:val="00C70D22"/>
    <w:rsid w:val="00C727D6"/>
    <w:rsid w:val="00C72A13"/>
    <w:rsid w:val="00C73112"/>
    <w:rsid w:val="00C73307"/>
    <w:rsid w:val="00C735D2"/>
    <w:rsid w:val="00C73796"/>
    <w:rsid w:val="00C73B64"/>
    <w:rsid w:val="00C74251"/>
    <w:rsid w:val="00C7529B"/>
    <w:rsid w:val="00C75FBF"/>
    <w:rsid w:val="00C76048"/>
    <w:rsid w:val="00C76A90"/>
    <w:rsid w:val="00C774CC"/>
    <w:rsid w:val="00C77CBD"/>
    <w:rsid w:val="00C80B8D"/>
    <w:rsid w:val="00C82B17"/>
    <w:rsid w:val="00C833F7"/>
    <w:rsid w:val="00C8351D"/>
    <w:rsid w:val="00C86449"/>
    <w:rsid w:val="00C86FAB"/>
    <w:rsid w:val="00C87373"/>
    <w:rsid w:val="00C87C61"/>
    <w:rsid w:val="00C90120"/>
    <w:rsid w:val="00C905D9"/>
    <w:rsid w:val="00C90E17"/>
    <w:rsid w:val="00C917F9"/>
    <w:rsid w:val="00C9367A"/>
    <w:rsid w:val="00C936D1"/>
    <w:rsid w:val="00C93E43"/>
    <w:rsid w:val="00C949D8"/>
    <w:rsid w:val="00C959FB"/>
    <w:rsid w:val="00C972C5"/>
    <w:rsid w:val="00CA1638"/>
    <w:rsid w:val="00CA243F"/>
    <w:rsid w:val="00CA3645"/>
    <w:rsid w:val="00CA38D7"/>
    <w:rsid w:val="00CA3ABE"/>
    <w:rsid w:val="00CA598C"/>
    <w:rsid w:val="00CA70B1"/>
    <w:rsid w:val="00CA769A"/>
    <w:rsid w:val="00CA7919"/>
    <w:rsid w:val="00CA7D40"/>
    <w:rsid w:val="00CA7F86"/>
    <w:rsid w:val="00CB0AC5"/>
    <w:rsid w:val="00CB628D"/>
    <w:rsid w:val="00CC074F"/>
    <w:rsid w:val="00CC0CE1"/>
    <w:rsid w:val="00CC0F61"/>
    <w:rsid w:val="00CC13B4"/>
    <w:rsid w:val="00CC1791"/>
    <w:rsid w:val="00CC188A"/>
    <w:rsid w:val="00CC24DD"/>
    <w:rsid w:val="00CC294E"/>
    <w:rsid w:val="00CC3824"/>
    <w:rsid w:val="00CC3A10"/>
    <w:rsid w:val="00CC3EA4"/>
    <w:rsid w:val="00CC46C2"/>
    <w:rsid w:val="00CC5C14"/>
    <w:rsid w:val="00CC6818"/>
    <w:rsid w:val="00CC6990"/>
    <w:rsid w:val="00CC6CAB"/>
    <w:rsid w:val="00CC7180"/>
    <w:rsid w:val="00CD0312"/>
    <w:rsid w:val="00CD16E8"/>
    <w:rsid w:val="00CD1D5E"/>
    <w:rsid w:val="00CD28EB"/>
    <w:rsid w:val="00CD3894"/>
    <w:rsid w:val="00CD44CB"/>
    <w:rsid w:val="00CD71B7"/>
    <w:rsid w:val="00CD78B8"/>
    <w:rsid w:val="00CE218A"/>
    <w:rsid w:val="00CE55D2"/>
    <w:rsid w:val="00CE679C"/>
    <w:rsid w:val="00CE6A52"/>
    <w:rsid w:val="00CE6F3B"/>
    <w:rsid w:val="00CE6F60"/>
    <w:rsid w:val="00CF0EB6"/>
    <w:rsid w:val="00CF2172"/>
    <w:rsid w:val="00CF3532"/>
    <w:rsid w:val="00CF3ADE"/>
    <w:rsid w:val="00CF7287"/>
    <w:rsid w:val="00D0049A"/>
    <w:rsid w:val="00D00BA9"/>
    <w:rsid w:val="00D00C97"/>
    <w:rsid w:val="00D02E99"/>
    <w:rsid w:val="00D04726"/>
    <w:rsid w:val="00D04768"/>
    <w:rsid w:val="00D05195"/>
    <w:rsid w:val="00D05B83"/>
    <w:rsid w:val="00D05E25"/>
    <w:rsid w:val="00D1006F"/>
    <w:rsid w:val="00D10395"/>
    <w:rsid w:val="00D10F73"/>
    <w:rsid w:val="00D11256"/>
    <w:rsid w:val="00D12779"/>
    <w:rsid w:val="00D12A1C"/>
    <w:rsid w:val="00D12F44"/>
    <w:rsid w:val="00D132EF"/>
    <w:rsid w:val="00D13CFD"/>
    <w:rsid w:val="00D13D34"/>
    <w:rsid w:val="00D1530C"/>
    <w:rsid w:val="00D168EF"/>
    <w:rsid w:val="00D16CE3"/>
    <w:rsid w:val="00D16F79"/>
    <w:rsid w:val="00D17AAA"/>
    <w:rsid w:val="00D17DBB"/>
    <w:rsid w:val="00D203C1"/>
    <w:rsid w:val="00D21BE1"/>
    <w:rsid w:val="00D23F2B"/>
    <w:rsid w:val="00D245CB"/>
    <w:rsid w:val="00D25258"/>
    <w:rsid w:val="00D2696F"/>
    <w:rsid w:val="00D27303"/>
    <w:rsid w:val="00D2744A"/>
    <w:rsid w:val="00D27A4A"/>
    <w:rsid w:val="00D30B2C"/>
    <w:rsid w:val="00D3137F"/>
    <w:rsid w:val="00D315EC"/>
    <w:rsid w:val="00D316F0"/>
    <w:rsid w:val="00D31C06"/>
    <w:rsid w:val="00D31C9C"/>
    <w:rsid w:val="00D31DE8"/>
    <w:rsid w:val="00D31F06"/>
    <w:rsid w:val="00D3255F"/>
    <w:rsid w:val="00D32933"/>
    <w:rsid w:val="00D33024"/>
    <w:rsid w:val="00D35B8C"/>
    <w:rsid w:val="00D35D32"/>
    <w:rsid w:val="00D36206"/>
    <w:rsid w:val="00D36826"/>
    <w:rsid w:val="00D4090D"/>
    <w:rsid w:val="00D421B2"/>
    <w:rsid w:val="00D43CC3"/>
    <w:rsid w:val="00D43EDE"/>
    <w:rsid w:val="00D46A1E"/>
    <w:rsid w:val="00D475FD"/>
    <w:rsid w:val="00D5175B"/>
    <w:rsid w:val="00D53A85"/>
    <w:rsid w:val="00D54297"/>
    <w:rsid w:val="00D55234"/>
    <w:rsid w:val="00D57EC7"/>
    <w:rsid w:val="00D6145D"/>
    <w:rsid w:val="00D620D4"/>
    <w:rsid w:val="00D62978"/>
    <w:rsid w:val="00D63147"/>
    <w:rsid w:val="00D63A86"/>
    <w:rsid w:val="00D646A0"/>
    <w:rsid w:val="00D64F31"/>
    <w:rsid w:val="00D65BB2"/>
    <w:rsid w:val="00D660BB"/>
    <w:rsid w:val="00D665EB"/>
    <w:rsid w:val="00D675A4"/>
    <w:rsid w:val="00D67E81"/>
    <w:rsid w:val="00D708FC"/>
    <w:rsid w:val="00D7147D"/>
    <w:rsid w:val="00D718A0"/>
    <w:rsid w:val="00D719B5"/>
    <w:rsid w:val="00D71FA5"/>
    <w:rsid w:val="00D724EE"/>
    <w:rsid w:val="00D73B57"/>
    <w:rsid w:val="00D74E77"/>
    <w:rsid w:val="00D74FFE"/>
    <w:rsid w:val="00D7522D"/>
    <w:rsid w:val="00D75D33"/>
    <w:rsid w:val="00D76A81"/>
    <w:rsid w:val="00D7788C"/>
    <w:rsid w:val="00D804C7"/>
    <w:rsid w:val="00D81800"/>
    <w:rsid w:val="00D81CAF"/>
    <w:rsid w:val="00D82B4B"/>
    <w:rsid w:val="00D833C6"/>
    <w:rsid w:val="00D84096"/>
    <w:rsid w:val="00D8433E"/>
    <w:rsid w:val="00D84679"/>
    <w:rsid w:val="00D84CFE"/>
    <w:rsid w:val="00D85841"/>
    <w:rsid w:val="00D86021"/>
    <w:rsid w:val="00D863CF"/>
    <w:rsid w:val="00D868CB"/>
    <w:rsid w:val="00D86D15"/>
    <w:rsid w:val="00D8778E"/>
    <w:rsid w:val="00D87BCD"/>
    <w:rsid w:val="00D90138"/>
    <w:rsid w:val="00D90F16"/>
    <w:rsid w:val="00D91F6A"/>
    <w:rsid w:val="00D92B07"/>
    <w:rsid w:val="00D92B88"/>
    <w:rsid w:val="00D92FF9"/>
    <w:rsid w:val="00D94056"/>
    <w:rsid w:val="00D946F7"/>
    <w:rsid w:val="00D9589E"/>
    <w:rsid w:val="00D95DEC"/>
    <w:rsid w:val="00D96B53"/>
    <w:rsid w:val="00D96C0B"/>
    <w:rsid w:val="00D96FDD"/>
    <w:rsid w:val="00DA23F6"/>
    <w:rsid w:val="00DA24EF"/>
    <w:rsid w:val="00DA4A04"/>
    <w:rsid w:val="00DA508A"/>
    <w:rsid w:val="00DA6414"/>
    <w:rsid w:val="00DA7197"/>
    <w:rsid w:val="00DA75F0"/>
    <w:rsid w:val="00DB04D3"/>
    <w:rsid w:val="00DB06AF"/>
    <w:rsid w:val="00DB0888"/>
    <w:rsid w:val="00DB133E"/>
    <w:rsid w:val="00DB2676"/>
    <w:rsid w:val="00DB3128"/>
    <w:rsid w:val="00DB382E"/>
    <w:rsid w:val="00DB3D40"/>
    <w:rsid w:val="00DB3F24"/>
    <w:rsid w:val="00DB403A"/>
    <w:rsid w:val="00DB40F1"/>
    <w:rsid w:val="00DB5415"/>
    <w:rsid w:val="00DB583C"/>
    <w:rsid w:val="00DB6702"/>
    <w:rsid w:val="00DB6E17"/>
    <w:rsid w:val="00DB6E6D"/>
    <w:rsid w:val="00DB7092"/>
    <w:rsid w:val="00DC1B9B"/>
    <w:rsid w:val="00DC26EF"/>
    <w:rsid w:val="00DC5B5E"/>
    <w:rsid w:val="00DC5D9F"/>
    <w:rsid w:val="00DC6109"/>
    <w:rsid w:val="00DC6F8A"/>
    <w:rsid w:val="00DC7EED"/>
    <w:rsid w:val="00DD0147"/>
    <w:rsid w:val="00DD0311"/>
    <w:rsid w:val="00DD0E34"/>
    <w:rsid w:val="00DD1254"/>
    <w:rsid w:val="00DD28E3"/>
    <w:rsid w:val="00DD2D15"/>
    <w:rsid w:val="00DD2EC8"/>
    <w:rsid w:val="00DD56A7"/>
    <w:rsid w:val="00DD6D5B"/>
    <w:rsid w:val="00DD7EB8"/>
    <w:rsid w:val="00DE01F2"/>
    <w:rsid w:val="00DE04EF"/>
    <w:rsid w:val="00DE2A1F"/>
    <w:rsid w:val="00DE2E61"/>
    <w:rsid w:val="00DE3D0F"/>
    <w:rsid w:val="00DE4979"/>
    <w:rsid w:val="00DE5BD3"/>
    <w:rsid w:val="00DE638A"/>
    <w:rsid w:val="00DE677A"/>
    <w:rsid w:val="00DF2571"/>
    <w:rsid w:val="00DF26C9"/>
    <w:rsid w:val="00DF370B"/>
    <w:rsid w:val="00DF3C43"/>
    <w:rsid w:val="00DF5E0E"/>
    <w:rsid w:val="00DF68C2"/>
    <w:rsid w:val="00DF6F3A"/>
    <w:rsid w:val="00E00ED1"/>
    <w:rsid w:val="00E0121C"/>
    <w:rsid w:val="00E012C5"/>
    <w:rsid w:val="00E01780"/>
    <w:rsid w:val="00E017D4"/>
    <w:rsid w:val="00E01B22"/>
    <w:rsid w:val="00E03BCE"/>
    <w:rsid w:val="00E0450C"/>
    <w:rsid w:val="00E04F2D"/>
    <w:rsid w:val="00E05B75"/>
    <w:rsid w:val="00E067EC"/>
    <w:rsid w:val="00E0717E"/>
    <w:rsid w:val="00E07A61"/>
    <w:rsid w:val="00E07A79"/>
    <w:rsid w:val="00E07B5D"/>
    <w:rsid w:val="00E07D5C"/>
    <w:rsid w:val="00E10019"/>
    <w:rsid w:val="00E10C69"/>
    <w:rsid w:val="00E10CBB"/>
    <w:rsid w:val="00E11540"/>
    <w:rsid w:val="00E115A9"/>
    <w:rsid w:val="00E12895"/>
    <w:rsid w:val="00E12A7D"/>
    <w:rsid w:val="00E12B16"/>
    <w:rsid w:val="00E13F31"/>
    <w:rsid w:val="00E14258"/>
    <w:rsid w:val="00E16E32"/>
    <w:rsid w:val="00E17B72"/>
    <w:rsid w:val="00E210C9"/>
    <w:rsid w:val="00E212B5"/>
    <w:rsid w:val="00E21563"/>
    <w:rsid w:val="00E22916"/>
    <w:rsid w:val="00E2342D"/>
    <w:rsid w:val="00E24CB7"/>
    <w:rsid w:val="00E2625F"/>
    <w:rsid w:val="00E267BB"/>
    <w:rsid w:val="00E30BE9"/>
    <w:rsid w:val="00E30BF0"/>
    <w:rsid w:val="00E30F72"/>
    <w:rsid w:val="00E314D1"/>
    <w:rsid w:val="00E321CB"/>
    <w:rsid w:val="00E33ACF"/>
    <w:rsid w:val="00E343EA"/>
    <w:rsid w:val="00E351AF"/>
    <w:rsid w:val="00E35CFC"/>
    <w:rsid w:val="00E36EC0"/>
    <w:rsid w:val="00E36FF4"/>
    <w:rsid w:val="00E37E67"/>
    <w:rsid w:val="00E40CC1"/>
    <w:rsid w:val="00E415C7"/>
    <w:rsid w:val="00E41CA0"/>
    <w:rsid w:val="00E41DB9"/>
    <w:rsid w:val="00E43E74"/>
    <w:rsid w:val="00E443E1"/>
    <w:rsid w:val="00E4512D"/>
    <w:rsid w:val="00E45FD7"/>
    <w:rsid w:val="00E46039"/>
    <w:rsid w:val="00E506A0"/>
    <w:rsid w:val="00E51AB3"/>
    <w:rsid w:val="00E51EDE"/>
    <w:rsid w:val="00E5214F"/>
    <w:rsid w:val="00E542C1"/>
    <w:rsid w:val="00E54F5C"/>
    <w:rsid w:val="00E55127"/>
    <w:rsid w:val="00E55300"/>
    <w:rsid w:val="00E554B1"/>
    <w:rsid w:val="00E55CA3"/>
    <w:rsid w:val="00E55D27"/>
    <w:rsid w:val="00E5692C"/>
    <w:rsid w:val="00E604BA"/>
    <w:rsid w:val="00E61CBB"/>
    <w:rsid w:val="00E6332E"/>
    <w:rsid w:val="00E63880"/>
    <w:rsid w:val="00E63BF6"/>
    <w:rsid w:val="00E650E7"/>
    <w:rsid w:val="00E6641A"/>
    <w:rsid w:val="00E67870"/>
    <w:rsid w:val="00E67C36"/>
    <w:rsid w:val="00E70C52"/>
    <w:rsid w:val="00E71C18"/>
    <w:rsid w:val="00E72778"/>
    <w:rsid w:val="00E72F88"/>
    <w:rsid w:val="00E7426D"/>
    <w:rsid w:val="00E742C9"/>
    <w:rsid w:val="00E753AD"/>
    <w:rsid w:val="00E77F9D"/>
    <w:rsid w:val="00E807B3"/>
    <w:rsid w:val="00E80CFD"/>
    <w:rsid w:val="00E81546"/>
    <w:rsid w:val="00E82048"/>
    <w:rsid w:val="00E83096"/>
    <w:rsid w:val="00E834CD"/>
    <w:rsid w:val="00E838C8"/>
    <w:rsid w:val="00E83C0D"/>
    <w:rsid w:val="00E85222"/>
    <w:rsid w:val="00E854A1"/>
    <w:rsid w:val="00E869BD"/>
    <w:rsid w:val="00E8736D"/>
    <w:rsid w:val="00E90724"/>
    <w:rsid w:val="00E938A8"/>
    <w:rsid w:val="00E93AFE"/>
    <w:rsid w:val="00E940BA"/>
    <w:rsid w:val="00E94B77"/>
    <w:rsid w:val="00E95D52"/>
    <w:rsid w:val="00E95FB8"/>
    <w:rsid w:val="00E9639E"/>
    <w:rsid w:val="00E96DEE"/>
    <w:rsid w:val="00E96F4A"/>
    <w:rsid w:val="00EA0712"/>
    <w:rsid w:val="00EA15AC"/>
    <w:rsid w:val="00EA1921"/>
    <w:rsid w:val="00EA1AAB"/>
    <w:rsid w:val="00EA35CD"/>
    <w:rsid w:val="00EA4FF1"/>
    <w:rsid w:val="00EA542D"/>
    <w:rsid w:val="00EA5C89"/>
    <w:rsid w:val="00EA66CE"/>
    <w:rsid w:val="00EA7186"/>
    <w:rsid w:val="00EA75C6"/>
    <w:rsid w:val="00EB13B3"/>
    <w:rsid w:val="00EB150E"/>
    <w:rsid w:val="00EB1DCF"/>
    <w:rsid w:val="00EB2BDA"/>
    <w:rsid w:val="00EB60D9"/>
    <w:rsid w:val="00EB69EB"/>
    <w:rsid w:val="00EB7513"/>
    <w:rsid w:val="00EB761A"/>
    <w:rsid w:val="00EC03AD"/>
    <w:rsid w:val="00EC08E0"/>
    <w:rsid w:val="00EC0A38"/>
    <w:rsid w:val="00EC0A7E"/>
    <w:rsid w:val="00EC18D6"/>
    <w:rsid w:val="00EC1CFE"/>
    <w:rsid w:val="00EC357B"/>
    <w:rsid w:val="00EC375F"/>
    <w:rsid w:val="00EC3F6B"/>
    <w:rsid w:val="00EC5501"/>
    <w:rsid w:val="00EC6907"/>
    <w:rsid w:val="00EC6F6F"/>
    <w:rsid w:val="00EC7154"/>
    <w:rsid w:val="00EC7E4D"/>
    <w:rsid w:val="00ED0F5E"/>
    <w:rsid w:val="00ED1B8F"/>
    <w:rsid w:val="00ED21CC"/>
    <w:rsid w:val="00ED233F"/>
    <w:rsid w:val="00ED2793"/>
    <w:rsid w:val="00ED2917"/>
    <w:rsid w:val="00ED2EDE"/>
    <w:rsid w:val="00ED30E7"/>
    <w:rsid w:val="00ED317B"/>
    <w:rsid w:val="00ED4790"/>
    <w:rsid w:val="00ED533B"/>
    <w:rsid w:val="00ED53E4"/>
    <w:rsid w:val="00ED7675"/>
    <w:rsid w:val="00ED7783"/>
    <w:rsid w:val="00EE00A4"/>
    <w:rsid w:val="00EE0BB2"/>
    <w:rsid w:val="00EE1BCD"/>
    <w:rsid w:val="00EE24AF"/>
    <w:rsid w:val="00EE2AB2"/>
    <w:rsid w:val="00EE42A9"/>
    <w:rsid w:val="00EE49A5"/>
    <w:rsid w:val="00EE4D1B"/>
    <w:rsid w:val="00EE4F68"/>
    <w:rsid w:val="00EE625A"/>
    <w:rsid w:val="00EE6C7B"/>
    <w:rsid w:val="00EE797C"/>
    <w:rsid w:val="00EE7EA3"/>
    <w:rsid w:val="00EF11DA"/>
    <w:rsid w:val="00EF22E2"/>
    <w:rsid w:val="00EF2D40"/>
    <w:rsid w:val="00EF3C5E"/>
    <w:rsid w:val="00EF3DA0"/>
    <w:rsid w:val="00EF447E"/>
    <w:rsid w:val="00EF5757"/>
    <w:rsid w:val="00EF5DDA"/>
    <w:rsid w:val="00EF76EB"/>
    <w:rsid w:val="00EF7D2A"/>
    <w:rsid w:val="00EF7E47"/>
    <w:rsid w:val="00F00D0E"/>
    <w:rsid w:val="00F020C0"/>
    <w:rsid w:val="00F022B0"/>
    <w:rsid w:val="00F02341"/>
    <w:rsid w:val="00F023BB"/>
    <w:rsid w:val="00F02C46"/>
    <w:rsid w:val="00F05215"/>
    <w:rsid w:val="00F06B20"/>
    <w:rsid w:val="00F06DD4"/>
    <w:rsid w:val="00F06E75"/>
    <w:rsid w:val="00F070BA"/>
    <w:rsid w:val="00F07783"/>
    <w:rsid w:val="00F07FDF"/>
    <w:rsid w:val="00F108A1"/>
    <w:rsid w:val="00F111D5"/>
    <w:rsid w:val="00F11E9E"/>
    <w:rsid w:val="00F11F3A"/>
    <w:rsid w:val="00F12124"/>
    <w:rsid w:val="00F12CD7"/>
    <w:rsid w:val="00F12F19"/>
    <w:rsid w:val="00F13966"/>
    <w:rsid w:val="00F139DA"/>
    <w:rsid w:val="00F13A1A"/>
    <w:rsid w:val="00F16775"/>
    <w:rsid w:val="00F20EB0"/>
    <w:rsid w:val="00F218AF"/>
    <w:rsid w:val="00F2256E"/>
    <w:rsid w:val="00F23335"/>
    <w:rsid w:val="00F2341E"/>
    <w:rsid w:val="00F242F7"/>
    <w:rsid w:val="00F24AA8"/>
    <w:rsid w:val="00F2546E"/>
    <w:rsid w:val="00F25682"/>
    <w:rsid w:val="00F25B85"/>
    <w:rsid w:val="00F26AAB"/>
    <w:rsid w:val="00F274EB"/>
    <w:rsid w:val="00F27B34"/>
    <w:rsid w:val="00F309A0"/>
    <w:rsid w:val="00F30C60"/>
    <w:rsid w:val="00F3130C"/>
    <w:rsid w:val="00F3237B"/>
    <w:rsid w:val="00F32ABB"/>
    <w:rsid w:val="00F3517D"/>
    <w:rsid w:val="00F36726"/>
    <w:rsid w:val="00F36FD8"/>
    <w:rsid w:val="00F37366"/>
    <w:rsid w:val="00F37968"/>
    <w:rsid w:val="00F37B4E"/>
    <w:rsid w:val="00F37D23"/>
    <w:rsid w:val="00F40FBD"/>
    <w:rsid w:val="00F41102"/>
    <w:rsid w:val="00F416ED"/>
    <w:rsid w:val="00F41F52"/>
    <w:rsid w:val="00F43A3E"/>
    <w:rsid w:val="00F4431A"/>
    <w:rsid w:val="00F450E1"/>
    <w:rsid w:val="00F4521F"/>
    <w:rsid w:val="00F45293"/>
    <w:rsid w:val="00F45317"/>
    <w:rsid w:val="00F47A47"/>
    <w:rsid w:val="00F50B24"/>
    <w:rsid w:val="00F51292"/>
    <w:rsid w:val="00F512B3"/>
    <w:rsid w:val="00F519FA"/>
    <w:rsid w:val="00F51F90"/>
    <w:rsid w:val="00F521BB"/>
    <w:rsid w:val="00F52C5A"/>
    <w:rsid w:val="00F53FEB"/>
    <w:rsid w:val="00F54457"/>
    <w:rsid w:val="00F547E1"/>
    <w:rsid w:val="00F5572D"/>
    <w:rsid w:val="00F55875"/>
    <w:rsid w:val="00F56BC5"/>
    <w:rsid w:val="00F57847"/>
    <w:rsid w:val="00F57C4B"/>
    <w:rsid w:val="00F60578"/>
    <w:rsid w:val="00F608EC"/>
    <w:rsid w:val="00F60DF8"/>
    <w:rsid w:val="00F61022"/>
    <w:rsid w:val="00F63922"/>
    <w:rsid w:val="00F63FA5"/>
    <w:rsid w:val="00F64665"/>
    <w:rsid w:val="00F64BAF"/>
    <w:rsid w:val="00F64BCE"/>
    <w:rsid w:val="00F65466"/>
    <w:rsid w:val="00F657B6"/>
    <w:rsid w:val="00F66F8B"/>
    <w:rsid w:val="00F70C31"/>
    <w:rsid w:val="00F722E7"/>
    <w:rsid w:val="00F730AB"/>
    <w:rsid w:val="00F73C3C"/>
    <w:rsid w:val="00F753B4"/>
    <w:rsid w:val="00F7682B"/>
    <w:rsid w:val="00F76978"/>
    <w:rsid w:val="00F76A4D"/>
    <w:rsid w:val="00F771CF"/>
    <w:rsid w:val="00F80229"/>
    <w:rsid w:val="00F80A98"/>
    <w:rsid w:val="00F80F93"/>
    <w:rsid w:val="00F82AD5"/>
    <w:rsid w:val="00F82CC7"/>
    <w:rsid w:val="00F85859"/>
    <w:rsid w:val="00F85C17"/>
    <w:rsid w:val="00F865FD"/>
    <w:rsid w:val="00F879C9"/>
    <w:rsid w:val="00F90715"/>
    <w:rsid w:val="00F9138A"/>
    <w:rsid w:val="00F91BD2"/>
    <w:rsid w:val="00F9216A"/>
    <w:rsid w:val="00F934B3"/>
    <w:rsid w:val="00F93A40"/>
    <w:rsid w:val="00F94111"/>
    <w:rsid w:val="00F943C2"/>
    <w:rsid w:val="00F95116"/>
    <w:rsid w:val="00F9548F"/>
    <w:rsid w:val="00F97CD4"/>
    <w:rsid w:val="00F97E52"/>
    <w:rsid w:val="00FA0A2F"/>
    <w:rsid w:val="00FA12F0"/>
    <w:rsid w:val="00FA1F48"/>
    <w:rsid w:val="00FA34B4"/>
    <w:rsid w:val="00FA43F2"/>
    <w:rsid w:val="00FA49D0"/>
    <w:rsid w:val="00FA5EF9"/>
    <w:rsid w:val="00FA606F"/>
    <w:rsid w:val="00FA6B04"/>
    <w:rsid w:val="00FA7A96"/>
    <w:rsid w:val="00FB04C7"/>
    <w:rsid w:val="00FB05CF"/>
    <w:rsid w:val="00FB0A1D"/>
    <w:rsid w:val="00FB1097"/>
    <w:rsid w:val="00FB208C"/>
    <w:rsid w:val="00FB2200"/>
    <w:rsid w:val="00FB2353"/>
    <w:rsid w:val="00FB29F1"/>
    <w:rsid w:val="00FB328D"/>
    <w:rsid w:val="00FB32A3"/>
    <w:rsid w:val="00FB3B4C"/>
    <w:rsid w:val="00FB3F2C"/>
    <w:rsid w:val="00FB4D7D"/>
    <w:rsid w:val="00FB5898"/>
    <w:rsid w:val="00FB5A82"/>
    <w:rsid w:val="00FB5C16"/>
    <w:rsid w:val="00FB6904"/>
    <w:rsid w:val="00FB77BF"/>
    <w:rsid w:val="00FC0CA2"/>
    <w:rsid w:val="00FC12C0"/>
    <w:rsid w:val="00FC2408"/>
    <w:rsid w:val="00FC3684"/>
    <w:rsid w:val="00FC3B06"/>
    <w:rsid w:val="00FC3EBF"/>
    <w:rsid w:val="00FC4239"/>
    <w:rsid w:val="00FC4503"/>
    <w:rsid w:val="00FC462C"/>
    <w:rsid w:val="00FC53D6"/>
    <w:rsid w:val="00FC5666"/>
    <w:rsid w:val="00FC5D0C"/>
    <w:rsid w:val="00FC5FB9"/>
    <w:rsid w:val="00FC65F0"/>
    <w:rsid w:val="00FC65F9"/>
    <w:rsid w:val="00FC6F83"/>
    <w:rsid w:val="00FC7BE3"/>
    <w:rsid w:val="00FD0DF6"/>
    <w:rsid w:val="00FD0FEB"/>
    <w:rsid w:val="00FD2963"/>
    <w:rsid w:val="00FD7227"/>
    <w:rsid w:val="00FD79D2"/>
    <w:rsid w:val="00FE033B"/>
    <w:rsid w:val="00FE1DBB"/>
    <w:rsid w:val="00FE3076"/>
    <w:rsid w:val="00FE330A"/>
    <w:rsid w:val="00FE3545"/>
    <w:rsid w:val="00FE3AE2"/>
    <w:rsid w:val="00FE441C"/>
    <w:rsid w:val="00FE48FD"/>
    <w:rsid w:val="00FE50F2"/>
    <w:rsid w:val="00FE5593"/>
    <w:rsid w:val="00FE621D"/>
    <w:rsid w:val="00FE6319"/>
    <w:rsid w:val="00FE71E9"/>
    <w:rsid w:val="00FE7692"/>
    <w:rsid w:val="00FF03FD"/>
    <w:rsid w:val="00FF2149"/>
    <w:rsid w:val="00FF2E1B"/>
    <w:rsid w:val="00FF581D"/>
    <w:rsid w:val="00FF5E23"/>
    <w:rsid w:val="00FF7763"/>
    <w:rsid w:val="00FF7A7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fillcolor="white">
      <v:fill color="white"/>
    </o:shapedefaults>
    <o:shapelayout v:ext="edit">
      <o:idmap v:ext="edit" data="1"/>
    </o:shapelayout>
  </w:shapeDefaults>
  <w:decimalSymbol w:val=","/>
  <w:listSeparator w:val=";"/>
  <w14:docId w14:val="250415D3"/>
  <w15:docId w15:val="{3991244E-C186-47D3-9EED-D9ECDAFF3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2495"/>
    <w:pPr>
      <w:spacing w:line="276" w:lineRule="auto"/>
      <w:jc w:val="both"/>
    </w:pPr>
    <w:rPr>
      <w:rFonts w:ascii="Cambria" w:eastAsia="Calibri" w:hAnsi="Cambria" w:cs="Calibri"/>
      <w:sz w:val="22"/>
      <w:lang w:eastAsia="en-US"/>
    </w:rPr>
  </w:style>
  <w:style w:type="paragraph" w:styleId="Naslov1">
    <w:name w:val="heading 1"/>
    <w:basedOn w:val="Normal"/>
    <w:next w:val="Normal"/>
    <w:link w:val="Naslov1Char"/>
    <w:qFormat/>
    <w:rsid w:val="00054C54"/>
    <w:pPr>
      <w:keepNext/>
      <w:spacing w:before="240" w:after="60"/>
      <w:outlineLvl w:val="0"/>
    </w:pPr>
    <w:rPr>
      <w:rFonts w:eastAsia="Times New Roman"/>
      <w:b/>
      <w:bCs/>
      <w:kern w:val="32"/>
      <w:sz w:val="32"/>
      <w:szCs w:val="32"/>
    </w:rPr>
  </w:style>
  <w:style w:type="paragraph" w:styleId="Naslov2">
    <w:name w:val="heading 2"/>
    <w:basedOn w:val="Normal"/>
    <w:next w:val="Normal"/>
    <w:qFormat/>
    <w:rsid w:val="007A7672"/>
    <w:pPr>
      <w:keepNext/>
      <w:spacing w:line="240" w:lineRule="auto"/>
      <w:outlineLvl w:val="1"/>
    </w:pPr>
    <w:rPr>
      <w:rFonts w:ascii="Arial" w:eastAsia="Times New Roman" w:hAnsi="Arial"/>
      <w:sz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7A7672"/>
    <w:pPr>
      <w:ind w:left="720"/>
      <w:contextualSpacing/>
    </w:pPr>
  </w:style>
  <w:style w:type="paragraph" w:styleId="Tekstbalonia">
    <w:name w:val="Balloon Text"/>
    <w:basedOn w:val="Normal"/>
    <w:semiHidden/>
    <w:unhideWhenUsed/>
    <w:rsid w:val="007A7672"/>
    <w:pPr>
      <w:spacing w:line="240" w:lineRule="auto"/>
    </w:pPr>
    <w:rPr>
      <w:rFonts w:ascii="Tahoma" w:hAnsi="Tahoma" w:cs="Tahoma"/>
      <w:sz w:val="16"/>
      <w:szCs w:val="16"/>
    </w:rPr>
  </w:style>
  <w:style w:type="character" w:customStyle="1" w:styleId="CharChar2">
    <w:name w:val="Char Char2"/>
    <w:semiHidden/>
    <w:rsid w:val="007A7672"/>
    <w:rPr>
      <w:rFonts w:ascii="Tahoma" w:eastAsia="Calibri" w:hAnsi="Tahoma" w:cs="Tahoma"/>
      <w:sz w:val="16"/>
      <w:szCs w:val="16"/>
      <w:lang w:eastAsia="en-US"/>
    </w:rPr>
  </w:style>
  <w:style w:type="paragraph" w:styleId="Tijeloteksta2">
    <w:name w:val="Body Text 2"/>
    <w:basedOn w:val="Normal"/>
    <w:rsid w:val="007A7672"/>
    <w:pPr>
      <w:spacing w:line="240" w:lineRule="auto"/>
    </w:pPr>
    <w:rPr>
      <w:rFonts w:ascii="Times New Roman" w:eastAsia="Times New Roman" w:hAnsi="Times New Roman"/>
    </w:rPr>
  </w:style>
  <w:style w:type="character" w:customStyle="1" w:styleId="CharChar1">
    <w:name w:val="Char Char1"/>
    <w:rsid w:val="007A7672"/>
    <w:rPr>
      <w:sz w:val="22"/>
      <w:szCs w:val="22"/>
      <w:lang w:eastAsia="en-US"/>
    </w:rPr>
  </w:style>
  <w:style w:type="paragraph" w:styleId="Uvuenotijeloteksta">
    <w:name w:val="Body Text Indent"/>
    <w:basedOn w:val="Normal"/>
    <w:link w:val="UvuenotijelotekstaChar"/>
    <w:unhideWhenUsed/>
    <w:rsid w:val="007A7672"/>
    <w:pPr>
      <w:spacing w:after="120"/>
      <w:ind w:left="283"/>
    </w:pPr>
  </w:style>
  <w:style w:type="character" w:customStyle="1" w:styleId="CharChar">
    <w:name w:val="Char Char"/>
    <w:rsid w:val="007A7672"/>
    <w:rPr>
      <w:rFonts w:ascii="Calibri" w:eastAsia="Calibri" w:hAnsi="Calibri"/>
      <w:sz w:val="22"/>
      <w:szCs w:val="22"/>
      <w:lang w:eastAsia="en-US"/>
    </w:rPr>
  </w:style>
  <w:style w:type="paragraph" w:styleId="Tijeloteksta-uvlaka2">
    <w:name w:val="Body Text Indent 2"/>
    <w:aliases w:val="  uvlaka 2"/>
    <w:basedOn w:val="Normal"/>
    <w:rsid w:val="007A7672"/>
    <w:pPr>
      <w:ind w:firstLine="720"/>
    </w:pPr>
    <w:rPr>
      <w:rFonts w:ascii="Verdana" w:hAnsi="Verdana" w:cs="Arial"/>
      <w:sz w:val="20"/>
    </w:rPr>
  </w:style>
  <w:style w:type="paragraph" w:styleId="Zaglavlje">
    <w:name w:val="header"/>
    <w:basedOn w:val="Normal"/>
    <w:link w:val="ZaglavljeChar"/>
    <w:uiPriority w:val="99"/>
    <w:unhideWhenUsed/>
    <w:rsid w:val="000A6036"/>
    <w:pPr>
      <w:tabs>
        <w:tab w:val="center" w:pos="4536"/>
        <w:tab w:val="right" w:pos="9072"/>
      </w:tabs>
      <w:spacing w:line="240" w:lineRule="auto"/>
    </w:pPr>
    <w:rPr>
      <w:rFonts w:ascii="Times New Roman" w:hAnsi="Times New Roman"/>
      <w:sz w:val="24"/>
      <w:szCs w:val="24"/>
    </w:rPr>
  </w:style>
  <w:style w:type="character" w:customStyle="1" w:styleId="ZaglavljeChar">
    <w:name w:val="Zaglavlje Char"/>
    <w:link w:val="Zaglavlje"/>
    <w:uiPriority w:val="99"/>
    <w:rsid w:val="000A6036"/>
    <w:rPr>
      <w:rFonts w:eastAsia="Calibri"/>
      <w:sz w:val="24"/>
      <w:szCs w:val="24"/>
      <w:lang w:eastAsia="en-US"/>
    </w:rPr>
  </w:style>
  <w:style w:type="table" w:styleId="Reetkatablice">
    <w:name w:val="Table Grid"/>
    <w:basedOn w:val="Obinatablica"/>
    <w:rsid w:val="004F2E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odnoje">
    <w:name w:val="footer"/>
    <w:basedOn w:val="Normal"/>
    <w:link w:val="PodnojeChar"/>
    <w:uiPriority w:val="99"/>
    <w:rsid w:val="00F30C60"/>
    <w:pPr>
      <w:tabs>
        <w:tab w:val="center" w:pos="4536"/>
        <w:tab w:val="right" w:pos="9072"/>
      </w:tabs>
    </w:pPr>
  </w:style>
  <w:style w:type="character" w:customStyle="1" w:styleId="PodnojeChar">
    <w:name w:val="Podnožje Char"/>
    <w:link w:val="Podnoje"/>
    <w:uiPriority w:val="99"/>
    <w:rsid w:val="00F30C60"/>
    <w:rPr>
      <w:rFonts w:ascii="Calibri" w:eastAsia="Calibri" w:hAnsi="Calibri"/>
      <w:sz w:val="22"/>
      <w:szCs w:val="22"/>
      <w:lang w:eastAsia="en-US"/>
    </w:rPr>
  </w:style>
  <w:style w:type="paragraph" w:styleId="Tijeloteksta">
    <w:name w:val="Body Text"/>
    <w:basedOn w:val="Normal"/>
    <w:link w:val="TijelotekstaChar"/>
    <w:rsid w:val="009058A2"/>
    <w:pPr>
      <w:spacing w:after="120"/>
    </w:pPr>
  </w:style>
  <w:style w:type="character" w:customStyle="1" w:styleId="TijelotekstaChar">
    <w:name w:val="Tijelo teksta Char"/>
    <w:link w:val="Tijeloteksta"/>
    <w:uiPriority w:val="99"/>
    <w:rsid w:val="009058A2"/>
    <w:rPr>
      <w:rFonts w:ascii="Calibri" w:eastAsia="Calibri" w:hAnsi="Calibri"/>
      <w:sz w:val="22"/>
      <w:szCs w:val="22"/>
      <w:lang w:eastAsia="en-US"/>
    </w:rPr>
  </w:style>
  <w:style w:type="character" w:customStyle="1" w:styleId="Naslov1Char">
    <w:name w:val="Naslov 1 Char"/>
    <w:link w:val="Naslov1"/>
    <w:rsid w:val="00054C54"/>
    <w:rPr>
      <w:rFonts w:ascii="Cambria" w:eastAsia="Times New Roman" w:hAnsi="Cambria" w:cs="Times New Roman"/>
      <w:b/>
      <w:bCs/>
      <w:kern w:val="32"/>
      <w:sz w:val="32"/>
      <w:szCs w:val="32"/>
      <w:lang w:eastAsia="en-US"/>
    </w:rPr>
  </w:style>
  <w:style w:type="paragraph" w:styleId="Tijeloteksta-uvlaka3">
    <w:name w:val="Body Text Indent 3"/>
    <w:basedOn w:val="Normal"/>
    <w:link w:val="Tijeloteksta-uvlaka3Char"/>
    <w:uiPriority w:val="99"/>
    <w:semiHidden/>
    <w:unhideWhenUsed/>
    <w:rsid w:val="00C329D4"/>
    <w:pPr>
      <w:spacing w:after="120"/>
      <w:ind w:left="283"/>
    </w:pPr>
    <w:rPr>
      <w:sz w:val="16"/>
      <w:szCs w:val="16"/>
    </w:rPr>
  </w:style>
  <w:style w:type="character" w:customStyle="1" w:styleId="Tijeloteksta-uvlaka3Char">
    <w:name w:val="Tijelo teksta - uvlaka 3 Char"/>
    <w:link w:val="Tijeloteksta-uvlaka3"/>
    <w:uiPriority w:val="99"/>
    <w:semiHidden/>
    <w:rsid w:val="00C329D4"/>
    <w:rPr>
      <w:rFonts w:ascii="Calibri" w:eastAsia="Calibri" w:hAnsi="Calibri"/>
      <w:sz w:val="16"/>
      <w:szCs w:val="16"/>
      <w:lang w:eastAsia="en-US"/>
    </w:rPr>
  </w:style>
  <w:style w:type="character" w:customStyle="1" w:styleId="UvuenotijelotekstaChar">
    <w:name w:val="Uvučeno tijelo teksta Char"/>
    <w:link w:val="Uvuenotijeloteksta"/>
    <w:rsid w:val="008C73F2"/>
    <w:rPr>
      <w:rFonts w:ascii="Calibri" w:eastAsia="Calibri" w:hAnsi="Calibri"/>
      <w:sz w:val="22"/>
      <w:szCs w:val="22"/>
      <w:lang w:eastAsia="en-US"/>
    </w:rPr>
  </w:style>
  <w:style w:type="paragraph" w:customStyle="1" w:styleId="Standard">
    <w:name w:val="Standard"/>
    <w:rsid w:val="004D2A2E"/>
    <w:pPr>
      <w:suppressAutoHyphens/>
      <w:autoSpaceDN w:val="0"/>
      <w:spacing w:after="200" w:line="276" w:lineRule="auto"/>
      <w:textAlignment w:val="baseline"/>
    </w:pPr>
    <w:rPr>
      <w:rFonts w:ascii="Calibri" w:eastAsia="Calibri" w:hAnsi="Calibri" w:cs="Calibri"/>
      <w:color w:val="000000"/>
      <w:kern w:val="3"/>
      <w:sz w:val="24"/>
      <w:szCs w:val="24"/>
    </w:rPr>
  </w:style>
  <w:style w:type="paragraph" w:styleId="Naslov">
    <w:name w:val="Title"/>
    <w:basedOn w:val="Standard"/>
    <w:next w:val="Podnaslov"/>
    <w:link w:val="NaslovChar"/>
    <w:rsid w:val="004D2A2E"/>
    <w:pPr>
      <w:pBdr>
        <w:bottom w:val="single" w:sz="8" w:space="4" w:color="4F81BD"/>
      </w:pBdr>
      <w:spacing w:after="300" w:line="240" w:lineRule="auto"/>
    </w:pPr>
    <w:rPr>
      <w:rFonts w:ascii="Cambria" w:eastAsia="Times New Roman" w:hAnsi="Cambria"/>
      <w:b/>
      <w:bCs/>
      <w:color w:val="17365D"/>
      <w:spacing w:val="5"/>
      <w:sz w:val="52"/>
      <w:szCs w:val="52"/>
      <w:lang w:val="en-US"/>
    </w:rPr>
  </w:style>
  <w:style w:type="character" w:customStyle="1" w:styleId="NaslovChar">
    <w:name w:val="Naslov Char"/>
    <w:basedOn w:val="Zadanifontodlomka"/>
    <w:link w:val="Naslov"/>
    <w:rsid w:val="004D2A2E"/>
    <w:rPr>
      <w:rFonts w:ascii="Cambria" w:hAnsi="Cambria" w:cs="Calibri"/>
      <w:b/>
      <w:bCs/>
      <w:color w:val="17365D"/>
      <w:spacing w:val="5"/>
      <w:kern w:val="3"/>
      <w:sz w:val="52"/>
      <w:szCs w:val="52"/>
      <w:lang w:val="en-US"/>
    </w:rPr>
  </w:style>
  <w:style w:type="paragraph" w:styleId="Podnaslov">
    <w:name w:val="Subtitle"/>
    <w:basedOn w:val="Normal"/>
    <w:next w:val="Normal"/>
    <w:link w:val="PodnaslovChar"/>
    <w:uiPriority w:val="11"/>
    <w:qFormat/>
    <w:rsid w:val="004D2A2E"/>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PodnaslovChar">
    <w:name w:val="Podnaslov Char"/>
    <w:basedOn w:val="Zadanifontodlomka"/>
    <w:link w:val="Podnaslov"/>
    <w:uiPriority w:val="11"/>
    <w:rsid w:val="004D2A2E"/>
    <w:rPr>
      <w:rFonts w:asciiTheme="majorHAnsi" w:eastAsiaTheme="majorEastAsia" w:hAnsiTheme="majorHAnsi" w:cstheme="majorBidi"/>
      <w:i/>
      <w:iCs/>
      <w:color w:val="5B9BD5" w:themeColor="accent1"/>
      <w:spacing w:val="15"/>
      <w:sz w:val="24"/>
      <w:szCs w:val="24"/>
      <w:lang w:eastAsia="en-US"/>
    </w:rPr>
  </w:style>
  <w:style w:type="character" w:styleId="Hiperveza">
    <w:name w:val="Hyperlink"/>
    <w:basedOn w:val="Zadanifontodlomka"/>
    <w:uiPriority w:val="99"/>
    <w:semiHidden/>
    <w:unhideWhenUsed/>
    <w:rsid w:val="00404027"/>
    <w:rPr>
      <w:color w:val="0000FF"/>
      <w:u w:val="single"/>
    </w:rPr>
  </w:style>
  <w:style w:type="paragraph" w:customStyle="1" w:styleId="Odlomakpopisa2">
    <w:name w:val="Odlomak popisa2"/>
    <w:basedOn w:val="Normal"/>
    <w:qFormat/>
    <w:rsid w:val="001558B8"/>
    <w:pPr>
      <w:ind w:left="720"/>
      <w:contextualSpacing/>
    </w:pPr>
    <w:rPr>
      <w:rFonts w:eastAsia="Times New Roman"/>
    </w:rPr>
  </w:style>
  <w:style w:type="paragraph" w:styleId="Tekstkrajnjebiljeke">
    <w:name w:val="endnote text"/>
    <w:basedOn w:val="Normal"/>
    <w:link w:val="TekstkrajnjebiljekeChar"/>
    <w:uiPriority w:val="99"/>
    <w:semiHidden/>
    <w:unhideWhenUsed/>
    <w:rsid w:val="00855013"/>
    <w:pPr>
      <w:spacing w:line="240" w:lineRule="auto"/>
    </w:pPr>
    <w:rPr>
      <w:sz w:val="20"/>
    </w:rPr>
  </w:style>
  <w:style w:type="character" w:customStyle="1" w:styleId="TekstkrajnjebiljekeChar">
    <w:name w:val="Tekst krajnje bilješke Char"/>
    <w:basedOn w:val="Zadanifontodlomka"/>
    <w:link w:val="Tekstkrajnjebiljeke"/>
    <w:uiPriority w:val="99"/>
    <w:semiHidden/>
    <w:rsid w:val="00855013"/>
    <w:rPr>
      <w:rFonts w:ascii="Cambria" w:eastAsia="Calibri" w:hAnsi="Cambria" w:cs="Calibri"/>
      <w:lang w:eastAsia="en-US"/>
    </w:rPr>
  </w:style>
  <w:style w:type="character" w:styleId="Referencakrajnjebiljeke">
    <w:name w:val="endnote reference"/>
    <w:basedOn w:val="Zadanifontodlomka"/>
    <w:uiPriority w:val="99"/>
    <w:semiHidden/>
    <w:unhideWhenUsed/>
    <w:rsid w:val="00855013"/>
    <w:rPr>
      <w:vertAlign w:val="superscript"/>
    </w:rPr>
  </w:style>
  <w:style w:type="paragraph" w:styleId="Tekstfusnote">
    <w:name w:val="footnote text"/>
    <w:basedOn w:val="Normal"/>
    <w:link w:val="TekstfusnoteChar"/>
    <w:uiPriority w:val="99"/>
    <w:semiHidden/>
    <w:unhideWhenUsed/>
    <w:rsid w:val="00855013"/>
    <w:pPr>
      <w:spacing w:line="240" w:lineRule="auto"/>
    </w:pPr>
    <w:rPr>
      <w:sz w:val="20"/>
    </w:rPr>
  </w:style>
  <w:style w:type="character" w:customStyle="1" w:styleId="TekstfusnoteChar">
    <w:name w:val="Tekst fusnote Char"/>
    <w:basedOn w:val="Zadanifontodlomka"/>
    <w:link w:val="Tekstfusnote"/>
    <w:uiPriority w:val="99"/>
    <w:semiHidden/>
    <w:rsid w:val="00855013"/>
    <w:rPr>
      <w:rFonts w:ascii="Cambria" w:eastAsia="Calibri" w:hAnsi="Cambria" w:cs="Calibri"/>
      <w:lang w:eastAsia="en-US"/>
    </w:rPr>
  </w:style>
  <w:style w:type="character" w:styleId="Referencafusnote">
    <w:name w:val="footnote reference"/>
    <w:basedOn w:val="Zadanifontodlomka"/>
    <w:uiPriority w:val="99"/>
    <w:semiHidden/>
    <w:unhideWhenUsed/>
    <w:rsid w:val="0085501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265983">
      <w:bodyDiv w:val="1"/>
      <w:marLeft w:val="0"/>
      <w:marRight w:val="0"/>
      <w:marTop w:val="0"/>
      <w:marBottom w:val="0"/>
      <w:divBdr>
        <w:top w:val="none" w:sz="0" w:space="0" w:color="auto"/>
        <w:left w:val="none" w:sz="0" w:space="0" w:color="auto"/>
        <w:bottom w:val="none" w:sz="0" w:space="0" w:color="auto"/>
        <w:right w:val="none" w:sz="0" w:space="0" w:color="auto"/>
      </w:divBdr>
    </w:div>
    <w:div w:id="74715605">
      <w:bodyDiv w:val="1"/>
      <w:marLeft w:val="0"/>
      <w:marRight w:val="0"/>
      <w:marTop w:val="0"/>
      <w:marBottom w:val="0"/>
      <w:divBdr>
        <w:top w:val="none" w:sz="0" w:space="0" w:color="auto"/>
        <w:left w:val="none" w:sz="0" w:space="0" w:color="auto"/>
        <w:bottom w:val="none" w:sz="0" w:space="0" w:color="auto"/>
        <w:right w:val="none" w:sz="0" w:space="0" w:color="auto"/>
      </w:divBdr>
    </w:div>
    <w:div w:id="130634359">
      <w:bodyDiv w:val="1"/>
      <w:marLeft w:val="0"/>
      <w:marRight w:val="0"/>
      <w:marTop w:val="0"/>
      <w:marBottom w:val="0"/>
      <w:divBdr>
        <w:top w:val="none" w:sz="0" w:space="0" w:color="auto"/>
        <w:left w:val="none" w:sz="0" w:space="0" w:color="auto"/>
        <w:bottom w:val="none" w:sz="0" w:space="0" w:color="auto"/>
        <w:right w:val="none" w:sz="0" w:space="0" w:color="auto"/>
      </w:divBdr>
    </w:div>
    <w:div w:id="146750506">
      <w:bodyDiv w:val="1"/>
      <w:marLeft w:val="0"/>
      <w:marRight w:val="0"/>
      <w:marTop w:val="0"/>
      <w:marBottom w:val="0"/>
      <w:divBdr>
        <w:top w:val="none" w:sz="0" w:space="0" w:color="auto"/>
        <w:left w:val="none" w:sz="0" w:space="0" w:color="auto"/>
        <w:bottom w:val="none" w:sz="0" w:space="0" w:color="auto"/>
        <w:right w:val="none" w:sz="0" w:space="0" w:color="auto"/>
      </w:divBdr>
    </w:div>
    <w:div w:id="165562201">
      <w:bodyDiv w:val="1"/>
      <w:marLeft w:val="0"/>
      <w:marRight w:val="0"/>
      <w:marTop w:val="0"/>
      <w:marBottom w:val="0"/>
      <w:divBdr>
        <w:top w:val="none" w:sz="0" w:space="0" w:color="auto"/>
        <w:left w:val="none" w:sz="0" w:space="0" w:color="auto"/>
        <w:bottom w:val="none" w:sz="0" w:space="0" w:color="auto"/>
        <w:right w:val="none" w:sz="0" w:space="0" w:color="auto"/>
      </w:divBdr>
    </w:div>
    <w:div w:id="169026250">
      <w:bodyDiv w:val="1"/>
      <w:marLeft w:val="0"/>
      <w:marRight w:val="0"/>
      <w:marTop w:val="0"/>
      <w:marBottom w:val="0"/>
      <w:divBdr>
        <w:top w:val="none" w:sz="0" w:space="0" w:color="auto"/>
        <w:left w:val="none" w:sz="0" w:space="0" w:color="auto"/>
        <w:bottom w:val="none" w:sz="0" w:space="0" w:color="auto"/>
        <w:right w:val="none" w:sz="0" w:space="0" w:color="auto"/>
      </w:divBdr>
    </w:div>
    <w:div w:id="240338491">
      <w:bodyDiv w:val="1"/>
      <w:marLeft w:val="0"/>
      <w:marRight w:val="0"/>
      <w:marTop w:val="0"/>
      <w:marBottom w:val="0"/>
      <w:divBdr>
        <w:top w:val="none" w:sz="0" w:space="0" w:color="auto"/>
        <w:left w:val="none" w:sz="0" w:space="0" w:color="auto"/>
        <w:bottom w:val="none" w:sz="0" w:space="0" w:color="auto"/>
        <w:right w:val="none" w:sz="0" w:space="0" w:color="auto"/>
      </w:divBdr>
    </w:div>
    <w:div w:id="247229396">
      <w:bodyDiv w:val="1"/>
      <w:marLeft w:val="0"/>
      <w:marRight w:val="0"/>
      <w:marTop w:val="0"/>
      <w:marBottom w:val="0"/>
      <w:divBdr>
        <w:top w:val="none" w:sz="0" w:space="0" w:color="auto"/>
        <w:left w:val="none" w:sz="0" w:space="0" w:color="auto"/>
        <w:bottom w:val="none" w:sz="0" w:space="0" w:color="auto"/>
        <w:right w:val="none" w:sz="0" w:space="0" w:color="auto"/>
      </w:divBdr>
    </w:div>
    <w:div w:id="298149128">
      <w:bodyDiv w:val="1"/>
      <w:marLeft w:val="0"/>
      <w:marRight w:val="0"/>
      <w:marTop w:val="0"/>
      <w:marBottom w:val="0"/>
      <w:divBdr>
        <w:top w:val="none" w:sz="0" w:space="0" w:color="auto"/>
        <w:left w:val="none" w:sz="0" w:space="0" w:color="auto"/>
        <w:bottom w:val="none" w:sz="0" w:space="0" w:color="auto"/>
        <w:right w:val="none" w:sz="0" w:space="0" w:color="auto"/>
      </w:divBdr>
    </w:div>
    <w:div w:id="304509462">
      <w:bodyDiv w:val="1"/>
      <w:marLeft w:val="0"/>
      <w:marRight w:val="0"/>
      <w:marTop w:val="0"/>
      <w:marBottom w:val="0"/>
      <w:divBdr>
        <w:top w:val="none" w:sz="0" w:space="0" w:color="auto"/>
        <w:left w:val="none" w:sz="0" w:space="0" w:color="auto"/>
        <w:bottom w:val="none" w:sz="0" w:space="0" w:color="auto"/>
        <w:right w:val="none" w:sz="0" w:space="0" w:color="auto"/>
      </w:divBdr>
    </w:div>
    <w:div w:id="313949402">
      <w:bodyDiv w:val="1"/>
      <w:marLeft w:val="0"/>
      <w:marRight w:val="0"/>
      <w:marTop w:val="0"/>
      <w:marBottom w:val="0"/>
      <w:divBdr>
        <w:top w:val="none" w:sz="0" w:space="0" w:color="auto"/>
        <w:left w:val="none" w:sz="0" w:space="0" w:color="auto"/>
        <w:bottom w:val="none" w:sz="0" w:space="0" w:color="auto"/>
        <w:right w:val="none" w:sz="0" w:space="0" w:color="auto"/>
      </w:divBdr>
    </w:div>
    <w:div w:id="333341014">
      <w:bodyDiv w:val="1"/>
      <w:marLeft w:val="0"/>
      <w:marRight w:val="0"/>
      <w:marTop w:val="0"/>
      <w:marBottom w:val="0"/>
      <w:divBdr>
        <w:top w:val="none" w:sz="0" w:space="0" w:color="auto"/>
        <w:left w:val="none" w:sz="0" w:space="0" w:color="auto"/>
        <w:bottom w:val="none" w:sz="0" w:space="0" w:color="auto"/>
        <w:right w:val="none" w:sz="0" w:space="0" w:color="auto"/>
      </w:divBdr>
    </w:div>
    <w:div w:id="365760608">
      <w:bodyDiv w:val="1"/>
      <w:marLeft w:val="0"/>
      <w:marRight w:val="0"/>
      <w:marTop w:val="0"/>
      <w:marBottom w:val="0"/>
      <w:divBdr>
        <w:top w:val="none" w:sz="0" w:space="0" w:color="auto"/>
        <w:left w:val="none" w:sz="0" w:space="0" w:color="auto"/>
        <w:bottom w:val="none" w:sz="0" w:space="0" w:color="auto"/>
        <w:right w:val="none" w:sz="0" w:space="0" w:color="auto"/>
      </w:divBdr>
    </w:div>
    <w:div w:id="366369074">
      <w:bodyDiv w:val="1"/>
      <w:marLeft w:val="0"/>
      <w:marRight w:val="0"/>
      <w:marTop w:val="0"/>
      <w:marBottom w:val="0"/>
      <w:divBdr>
        <w:top w:val="none" w:sz="0" w:space="0" w:color="auto"/>
        <w:left w:val="none" w:sz="0" w:space="0" w:color="auto"/>
        <w:bottom w:val="none" w:sz="0" w:space="0" w:color="auto"/>
        <w:right w:val="none" w:sz="0" w:space="0" w:color="auto"/>
      </w:divBdr>
    </w:div>
    <w:div w:id="394477404">
      <w:bodyDiv w:val="1"/>
      <w:marLeft w:val="0"/>
      <w:marRight w:val="0"/>
      <w:marTop w:val="0"/>
      <w:marBottom w:val="0"/>
      <w:divBdr>
        <w:top w:val="none" w:sz="0" w:space="0" w:color="auto"/>
        <w:left w:val="none" w:sz="0" w:space="0" w:color="auto"/>
        <w:bottom w:val="none" w:sz="0" w:space="0" w:color="auto"/>
        <w:right w:val="none" w:sz="0" w:space="0" w:color="auto"/>
      </w:divBdr>
    </w:div>
    <w:div w:id="463233799">
      <w:bodyDiv w:val="1"/>
      <w:marLeft w:val="0"/>
      <w:marRight w:val="0"/>
      <w:marTop w:val="0"/>
      <w:marBottom w:val="0"/>
      <w:divBdr>
        <w:top w:val="none" w:sz="0" w:space="0" w:color="auto"/>
        <w:left w:val="none" w:sz="0" w:space="0" w:color="auto"/>
        <w:bottom w:val="none" w:sz="0" w:space="0" w:color="auto"/>
        <w:right w:val="none" w:sz="0" w:space="0" w:color="auto"/>
      </w:divBdr>
    </w:div>
    <w:div w:id="536157994">
      <w:bodyDiv w:val="1"/>
      <w:marLeft w:val="0"/>
      <w:marRight w:val="0"/>
      <w:marTop w:val="0"/>
      <w:marBottom w:val="0"/>
      <w:divBdr>
        <w:top w:val="none" w:sz="0" w:space="0" w:color="auto"/>
        <w:left w:val="none" w:sz="0" w:space="0" w:color="auto"/>
        <w:bottom w:val="none" w:sz="0" w:space="0" w:color="auto"/>
        <w:right w:val="none" w:sz="0" w:space="0" w:color="auto"/>
      </w:divBdr>
    </w:div>
    <w:div w:id="605188224">
      <w:bodyDiv w:val="1"/>
      <w:marLeft w:val="0"/>
      <w:marRight w:val="0"/>
      <w:marTop w:val="0"/>
      <w:marBottom w:val="0"/>
      <w:divBdr>
        <w:top w:val="none" w:sz="0" w:space="0" w:color="auto"/>
        <w:left w:val="none" w:sz="0" w:space="0" w:color="auto"/>
        <w:bottom w:val="none" w:sz="0" w:space="0" w:color="auto"/>
        <w:right w:val="none" w:sz="0" w:space="0" w:color="auto"/>
      </w:divBdr>
    </w:div>
    <w:div w:id="648629196">
      <w:bodyDiv w:val="1"/>
      <w:marLeft w:val="0"/>
      <w:marRight w:val="0"/>
      <w:marTop w:val="0"/>
      <w:marBottom w:val="0"/>
      <w:divBdr>
        <w:top w:val="none" w:sz="0" w:space="0" w:color="auto"/>
        <w:left w:val="none" w:sz="0" w:space="0" w:color="auto"/>
        <w:bottom w:val="none" w:sz="0" w:space="0" w:color="auto"/>
        <w:right w:val="none" w:sz="0" w:space="0" w:color="auto"/>
      </w:divBdr>
    </w:div>
    <w:div w:id="725221468">
      <w:bodyDiv w:val="1"/>
      <w:marLeft w:val="0"/>
      <w:marRight w:val="0"/>
      <w:marTop w:val="0"/>
      <w:marBottom w:val="0"/>
      <w:divBdr>
        <w:top w:val="none" w:sz="0" w:space="0" w:color="auto"/>
        <w:left w:val="none" w:sz="0" w:space="0" w:color="auto"/>
        <w:bottom w:val="none" w:sz="0" w:space="0" w:color="auto"/>
        <w:right w:val="none" w:sz="0" w:space="0" w:color="auto"/>
      </w:divBdr>
    </w:div>
    <w:div w:id="741753829">
      <w:bodyDiv w:val="1"/>
      <w:marLeft w:val="0"/>
      <w:marRight w:val="0"/>
      <w:marTop w:val="0"/>
      <w:marBottom w:val="0"/>
      <w:divBdr>
        <w:top w:val="none" w:sz="0" w:space="0" w:color="auto"/>
        <w:left w:val="none" w:sz="0" w:space="0" w:color="auto"/>
        <w:bottom w:val="none" w:sz="0" w:space="0" w:color="auto"/>
        <w:right w:val="none" w:sz="0" w:space="0" w:color="auto"/>
      </w:divBdr>
    </w:div>
    <w:div w:id="744113263">
      <w:bodyDiv w:val="1"/>
      <w:marLeft w:val="0"/>
      <w:marRight w:val="0"/>
      <w:marTop w:val="0"/>
      <w:marBottom w:val="0"/>
      <w:divBdr>
        <w:top w:val="none" w:sz="0" w:space="0" w:color="auto"/>
        <w:left w:val="none" w:sz="0" w:space="0" w:color="auto"/>
        <w:bottom w:val="none" w:sz="0" w:space="0" w:color="auto"/>
        <w:right w:val="none" w:sz="0" w:space="0" w:color="auto"/>
      </w:divBdr>
    </w:div>
    <w:div w:id="762650569">
      <w:bodyDiv w:val="1"/>
      <w:marLeft w:val="0"/>
      <w:marRight w:val="0"/>
      <w:marTop w:val="0"/>
      <w:marBottom w:val="0"/>
      <w:divBdr>
        <w:top w:val="none" w:sz="0" w:space="0" w:color="auto"/>
        <w:left w:val="none" w:sz="0" w:space="0" w:color="auto"/>
        <w:bottom w:val="none" w:sz="0" w:space="0" w:color="auto"/>
        <w:right w:val="none" w:sz="0" w:space="0" w:color="auto"/>
      </w:divBdr>
    </w:div>
    <w:div w:id="779493962">
      <w:bodyDiv w:val="1"/>
      <w:marLeft w:val="0"/>
      <w:marRight w:val="0"/>
      <w:marTop w:val="0"/>
      <w:marBottom w:val="0"/>
      <w:divBdr>
        <w:top w:val="none" w:sz="0" w:space="0" w:color="auto"/>
        <w:left w:val="none" w:sz="0" w:space="0" w:color="auto"/>
        <w:bottom w:val="none" w:sz="0" w:space="0" w:color="auto"/>
        <w:right w:val="none" w:sz="0" w:space="0" w:color="auto"/>
      </w:divBdr>
    </w:div>
    <w:div w:id="806627666">
      <w:bodyDiv w:val="1"/>
      <w:marLeft w:val="0"/>
      <w:marRight w:val="0"/>
      <w:marTop w:val="0"/>
      <w:marBottom w:val="0"/>
      <w:divBdr>
        <w:top w:val="none" w:sz="0" w:space="0" w:color="auto"/>
        <w:left w:val="none" w:sz="0" w:space="0" w:color="auto"/>
        <w:bottom w:val="none" w:sz="0" w:space="0" w:color="auto"/>
        <w:right w:val="none" w:sz="0" w:space="0" w:color="auto"/>
      </w:divBdr>
    </w:div>
    <w:div w:id="915552779">
      <w:bodyDiv w:val="1"/>
      <w:marLeft w:val="0"/>
      <w:marRight w:val="0"/>
      <w:marTop w:val="0"/>
      <w:marBottom w:val="0"/>
      <w:divBdr>
        <w:top w:val="none" w:sz="0" w:space="0" w:color="auto"/>
        <w:left w:val="none" w:sz="0" w:space="0" w:color="auto"/>
        <w:bottom w:val="none" w:sz="0" w:space="0" w:color="auto"/>
        <w:right w:val="none" w:sz="0" w:space="0" w:color="auto"/>
      </w:divBdr>
    </w:div>
    <w:div w:id="1014578307">
      <w:bodyDiv w:val="1"/>
      <w:marLeft w:val="0"/>
      <w:marRight w:val="0"/>
      <w:marTop w:val="0"/>
      <w:marBottom w:val="0"/>
      <w:divBdr>
        <w:top w:val="none" w:sz="0" w:space="0" w:color="auto"/>
        <w:left w:val="none" w:sz="0" w:space="0" w:color="auto"/>
        <w:bottom w:val="none" w:sz="0" w:space="0" w:color="auto"/>
        <w:right w:val="none" w:sz="0" w:space="0" w:color="auto"/>
      </w:divBdr>
    </w:div>
    <w:div w:id="1057313981">
      <w:bodyDiv w:val="1"/>
      <w:marLeft w:val="0"/>
      <w:marRight w:val="0"/>
      <w:marTop w:val="0"/>
      <w:marBottom w:val="0"/>
      <w:divBdr>
        <w:top w:val="none" w:sz="0" w:space="0" w:color="auto"/>
        <w:left w:val="none" w:sz="0" w:space="0" w:color="auto"/>
        <w:bottom w:val="none" w:sz="0" w:space="0" w:color="auto"/>
        <w:right w:val="none" w:sz="0" w:space="0" w:color="auto"/>
      </w:divBdr>
    </w:div>
    <w:div w:id="1064181639">
      <w:bodyDiv w:val="1"/>
      <w:marLeft w:val="0"/>
      <w:marRight w:val="0"/>
      <w:marTop w:val="0"/>
      <w:marBottom w:val="0"/>
      <w:divBdr>
        <w:top w:val="none" w:sz="0" w:space="0" w:color="auto"/>
        <w:left w:val="none" w:sz="0" w:space="0" w:color="auto"/>
        <w:bottom w:val="none" w:sz="0" w:space="0" w:color="auto"/>
        <w:right w:val="none" w:sz="0" w:space="0" w:color="auto"/>
      </w:divBdr>
    </w:div>
    <w:div w:id="1066224332">
      <w:bodyDiv w:val="1"/>
      <w:marLeft w:val="0"/>
      <w:marRight w:val="0"/>
      <w:marTop w:val="0"/>
      <w:marBottom w:val="0"/>
      <w:divBdr>
        <w:top w:val="none" w:sz="0" w:space="0" w:color="auto"/>
        <w:left w:val="none" w:sz="0" w:space="0" w:color="auto"/>
        <w:bottom w:val="none" w:sz="0" w:space="0" w:color="auto"/>
        <w:right w:val="none" w:sz="0" w:space="0" w:color="auto"/>
      </w:divBdr>
    </w:div>
    <w:div w:id="1089620986">
      <w:bodyDiv w:val="1"/>
      <w:marLeft w:val="0"/>
      <w:marRight w:val="0"/>
      <w:marTop w:val="0"/>
      <w:marBottom w:val="0"/>
      <w:divBdr>
        <w:top w:val="none" w:sz="0" w:space="0" w:color="auto"/>
        <w:left w:val="none" w:sz="0" w:space="0" w:color="auto"/>
        <w:bottom w:val="none" w:sz="0" w:space="0" w:color="auto"/>
        <w:right w:val="none" w:sz="0" w:space="0" w:color="auto"/>
      </w:divBdr>
    </w:div>
    <w:div w:id="1103261985">
      <w:bodyDiv w:val="1"/>
      <w:marLeft w:val="0"/>
      <w:marRight w:val="0"/>
      <w:marTop w:val="0"/>
      <w:marBottom w:val="0"/>
      <w:divBdr>
        <w:top w:val="none" w:sz="0" w:space="0" w:color="auto"/>
        <w:left w:val="none" w:sz="0" w:space="0" w:color="auto"/>
        <w:bottom w:val="none" w:sz="0" w:space="0" w:color="auto"/>
        <w:right w:val="none" w:sz="0" w:space="0" w:color="auto"/>
      </w:divBdr>
    </w:div>
    <w:div w:id="1116562766">
      <w:bodyDiv w:val="1"/>
      <w:marLeft w:val="0"/>
      <w:marRight w:val="0"/>
      <w:marTop w:val="0"/>
      <w:marBottom w:val="0"/>
      <w:divBdr>
        <w:top w:val="none" w:sz="0" w:space="0" w:color="auto"/>
        <w:left w:val="none" w:sz="0" w:space="0" w:color="auto"/>
        <w:bottom w:val="none" w:sz="0" w:space="0" w:color="auto"/>
        <w:right w:val="none" w:sz="0" w:space="0" w:color="auto"/>
      </w:divBdr>
    </w:div>
    <w:div w:id="1165827535">
      <w:bodyDiv w:val="1"/>
      <w:marLeft w:val="0"/>
      <w:marRight w:val="0"/>
      <w:marTop w:val="0"/>
      <w:marBottom w:val="0"/>
      <w:divBdr>
        <w:top w:val="none" w:sz="0" w:space="0" w:color="auto"/>
        <w:left w:val="none" w:sz="0" w:space="0" w:color="auto"/>
        <w:bottom w:val="none" w:sz="0" w:space="0" w:color="auto"/>
        <w:right w:val="none" w:sz="0" w:space="0" w:color="auto"/>
      </w:divBdr>
    </w:div>
    <w:div w:id="1188828754">
      <w:bodyDiv w:val="1"/>
      <w:marLeft w:val="0"/>
      <w:marRight w:val="0"/>
      <w:marTop w:val="0"/>
      <w:marBottom w:val="0"/>
      <w:divBdr>
        <w:top w:val="none" w:sz="0" w:space="0" w:color="auto"/>
        <w:left w:val="none" w:sz="0" w:space="0" w:color="auto"/>
        <w:bottom w:val="none" w:sz="0" w:space="0" w:color="auto"/>
        <w:right w:val="none" w:sz="0" w:space="0" w:color="auto"/>
      </w:divBdr>
    </w:div>
    <w:div w:id="1200121230">
      <w:bodyDiv w:val="1"/>
      <w:marLeft w:val="0"/>
      <w:marRight w:val="0"/>
      <w:marTop w:val="0"/>
      <w:marBottom w:val="0"/>
      <w:divBdr>
        <w:top w:val="none" w:sz="0" w:space="0" w:color="auto"/>
        <w:left w:val="none" w:sz="0" w:space="0" w:color="auto"/>
        <w:bottom w:val="none" w:sz="0" w:space="0" w:color="auto"/>
        <w:right w:val="none" w:sz="0" w:space="0" w:color="auto"/>
      </w:divBdr>
    </w:div>
    <w:div w:id="1207377831">
      <w:bodyDiv w:val="1"/>
      <w:marLeft w:val="0"/>
      <w:marRight w:val="0"/>
      <w:marTop w:val="0"/>
      <w:marBottom w:val="0"/>
      <w:divBdr>
        <w:top w:val="none" w:sz="0" w:space="0" w:color="auto"/>
        <w:left w:val="none" w:sz="0" w:space="0" w:color="auto"/>
        <w:bottom w:val="none" w:sz="0" w:space="0" w:color="auto"/>
        <w:right w:val="none" w:sz="0" w:space="0" w:color="auto"/>
      </w:divBdr>
    </w:div>
    <w:div w:id="1207529158">
      <w:bodyDiv w:val="1"/>
      <w:marLeft w:val="0"/>
      <w:marRight w:val="0"/>
      <w:marTop w:val="0"/>
      <w:marBottom w:val="0"/>
      <w:divBdr>
        <w:top w:val="none" w:sz="0" w:space="0" w:color="auto"/>
        <w:left w:val="none" w:sz="0" w:space="0" w:color="auto"/>
        <w:bottom w:val="none" w:sz="0" w:space="0" w:color="auto"/>
        <w:right w:val="none" w:sz="0" w:space="0" w:color="auto"/>
      </w:divBdr>
    </w:div>
    <w:div w:id="1216040192">
      <w:bodyDiv w:val="1"/>
      <w:marLeft w:val="0"/>
      <w:marRight w:val="0"/>
      <w:marTop w:val="0"/>
      <w:marBottom w:val="0"/>
      <w:divBdr>
        <w:top w:val="none" w:sz="0" w:space="0" w:color="auto"/>
        <w:left w:val="none" w:sz="0" w:space="0" w:color="auto"/>
        <w:bottom w:val="none" w:sz="0" w:space="0" w:color="auto"/>
        <w:right w:val="none" w:sz="0" w:space="0" w:color="auto"/>
      </w:divBdr>
    </w:div>
    <w:div w:id="1219970694">
      <w:bodyDiv w:val="1"/>
      <w:marLeft w:val="0"/>
      <w:marRight w:val="0"/>
      <w:marTop w:val="0"/>
      <w:marBottom w:val="0"/>
      <w:divBdr>
        <w:top w:val="none" w:sz="0" w:space="0" w:color="auto"/>
        <w:left w:val="none" w:sz="0" w:space="0" w:color="auto"/>
        <w:bottom w:val="none" w:sz="0" w:space="0" w:color="auto"/>
        <w:right w:val="none" w:sz="0" w:space="0" w:color="auto"/>
      </w:divBdr>
    </w:div>
    <w:div w:id="1258903833">
      <w:bodyDiv w:val="1"/>
      <w:marLeft w:val="0"/>
      <w:marRight w:val="0"/>
      <w:marTop w:val="0"/>
      <w:marBottom w:val="0"/>
      <w:divBdr>
        <w:top w:val="none" w:sz="0" w:space="0" w:color="auto"/>
        <w:left w:val="none" w:sz="0" w:space="0" w:color="auto"/>
        <w:bottom w:val="none" w:sz="0" w:space="0" w:color="auto"/>
        <w:right w:val="none" w:sz="0" w:space="0" w:color="auto"/>
      </w:divBdr>
    </w:div>
    <w:div w:id="1270697333">
      <w:bodyDiv w:val="1"/>
      <w:marLeft w:val="0"/>
      <w:marRight w:val="0"/>
      <w:marTop w:val="0"/>
      <w:marBottom w:val="0"/>
      <w:divBdr>
        <w:top w:val="none" w:sz="0" w:space="0" w:color="auto"/>
        <w:left w:val="none" w:sz="0" w:space="0" w:color="auto"/>
        <w:bottom w:val="none" w:sz="0" w:space="0" w:color="auto"/>
        <w:right w:val="none" w:sz="0" w:space="0" w:color="auto"/>
      </w:divBdr>
    </w:div>
    <w:div w:id="1312364066">
      <w:bodyDiv w:val="1"/>
      <w:marLeft w:val="0"/>
      <w:marRight w:val="0"/>
      <w:marTop w:val="0"/>
      <w:marBottom w:val="0"/>
      <w:divBdr>
        <w:top w:val="none" w:sz="0" w:space="0" w:color="auto"/>
        <w:left w:val="none" w:sz="0" w:space="0" w:color="auto"/>
        <w:bottom w:val="none" w:sz="0" w:space="0" w:color="auto"/>
        <w:right w:val="none" w:sz="0" w:space="0" w:color="auto"/>
      </w:divBdr>
    </w:div>
    <w:div w:id="1333801388">
      <w:bodyDiv w:val="1"/>
      <w:marLeft w:val="0"/>
      <w:marRight w:val="0"/>
      <w:marTop w:val="0"/>
      <w:marBottom w:val="0"/>
      <w:divBdr>
        <w:top w:val="none" w:sz="0" w:space="0" w:color="auto"/>
        <w:left w:val="none" w:sz="0" w:space="0" w:color="auto"/>
        <w:bottom w:val="none" w:sz="0" w:space="0" w:color="auto"/>
        <w:right w:val="none" w:sz="0" w:space="0" w:color="auto"/>
      </w:divBdr>
    </w:div>
    <w:div w:id="1343897587">
      <w:bodyDiv w:val="1"/>
      <w:marLeft w:val="0"/>
      <w:marRight w:val="0"/>
      <w:marTop w:val="0"/>
      <w:marBottom w:val="0"/>
      <w:divBdr>
        <w:top w:val="none" w:sz="0" w:space="0" w:color="auto"/>
        <w:left w:val="none" w:sz="0" w:space="0" w:color="auto"/>
        <w:bottom w:val="none" w:sz="0" w:space="0" w:color="auto"/>
        <w:right w:val="none" w:sz="0" w:space="0" w:color="auto"/>
      </w:divBdr>
    </w:div>
    <w:div w:id="1390575289">
      <w:bodyDiv w:val="1"/>
      <w:marLeft w:val="0"/>
      <w:marRight w:val="0"/>
      <w:marTop w:val="0"/>
      <w:marBottom w:val="0"/>
      <w:divBdr>
        <w:top w:val="none" w:sz="0" w:space="0" w:color="auto"/>
        <w:left w:val="none" w:sz="0" w:space="0" w:color="auto"/>
        <w:bottom w:val="none" w:sz="0" w:space="0" w:color="auto"/>
        <w:right w:val="none" w:sz="0" w:space="0" w:color="auto"/>
      </w:divBdr>
    </w:div>
    <w:div w:id="1451053618">
      <w:bodyDiv w:val="1"/>
      <w:marLeft w:val="0"/>
      <w:marRight w:val="0"/>
      <w:marTop w:val="0"/>
      <w:marBottom w:val="0"/>
      <w:divBdr>
        <w:top w:val="none" w:sz="0" w:space="0" w:color="auto"/>
        <w:left w:val="none" w:sz="0" w:space="0" w:color="auto"/>
        <w:bottom w:val="none" w:sz="0" w:space="0" w:color="auto"/>
        <w:right w:val="none" w:sz="0" w:space="0" w:color="auto"/>
      </w:divBdr>
    </w:div>
    <w:div w:id="1475369943">
      <w:bodyDiv w:val="1"/>
      <w:marLeft w:val="0"/>
      <w:marRight w:val="0"/>
      <w:marTop w:val="0"/>
      <w:marBottom w:val="0"/>
      <w:divBdr>
        <w:top w:val="none" w:sz="0" w:space="0" w:color="auto"/>
        <w:left w:val="none" w:sz="0" w:space="0" w:color="auto"/>
        <w:bottom w:val="none" w:sz="0" w:space="0" w:color="auto"/>
        <w:right w:val="none" w:sz="0" w:space="0" w:color="auto"/>
      </w:divBdr>
    </w:div>
    <w:div w:id="1500845052">
      <w:bodyDiv w:val="1"/>
      <w:marLeft w:val="0"/>
      <w:marRight w:val="0"/>
      <w:marTop w:val="0"/>
      <w:marBottom w:val="0"/>
      <w:divBdr>
        <w:top w:val="none" w:sz="0" w:space="0" w:color="auto"/>
        <w:left w:val="none" w:sz="0" w:space="0" w:color="auto"/>
        <w:bottom w:val="none" w:sz="0" w:space="0" w:color="auto"/>
        <w:right w:val="none" w:sz="0" w:space="0" w:color="auto"/>
      </w:divBdr>
    </w:div>
    <w:div w:id="1503013342">
      <w:bodyDiv w:val="1"/>
      <w:marLeft w:val="0"/>
      <w:marRight w:val="0"/>
      <w:marTop w:val="0"/>
      <w:marBottom w:val="0"/>
      <w:divBdr>
        <w:top w:val="none" w:sz="0" w:space="0" w:color="auto"/>
        <w:left w:val="none" w:sz="0" w:space="0" w:color="auto"/>
        <w:bottom w:val="none" w:sz="0" w:space="0" w:color="auto"/>
        <w:right w:val="none" w:sz="0" w:space="0" w:color="auto"/>
      </w:divBdr>
    </w:div>
    <w:div w:id="1525174584">
      <w:bodyDiv w:val="1"/>
      <w:marLeft w:val="0"/>
      <w:marRight w:val="0"/>
      <w:marTop w:val="0"/>
      <w:marBottom w:val="0"/>
      <w:divBdr>
        <w:top w:val="none" w:sz="0" w:space="0" w:color="auto"/>
        <w:left w:val="none" w:sz="0" w:space="0" w:color="auto"/>
        <w:bottom w:val="none" w:sz="0" w:space="0" w:color="auto"/>
        <w:right w:val="none" w:sz="0" w:space="0" w:color="auto"/>
      </w:divBdr>
    </w:div>
    <w:div w:id="1541013935">
      <w:bodyDiv w:val="1"/>
      <w:marLeft w:val="0"/>
      <w:marRight w:val="0"/>
      <w:marTop w:val="0"/>
      <w:marBottom w:val="0"/>
      <w:divBdr>
        <w:top w:val="none" w:sz="0" w:space="0" w:color="auto"/>
        <w:left w:val="none" w:sz="0" w:space="0" w:color="auto"/>
        <w:bottom w:val="none" w:sz="0" w:space="0" w:color="auto"/>
        <w:right w:val="none" w:sz="0" w:space="0" w:color="auto"/>
      </w:divBdr>
    </w:div>
    <w:div w:id="1602683192">
      <w:bodyDiv w:val="1"/>
      <w:marLeft w:val="0"/>
      <w:marRight w:val="0"/>
      <w:marTop w:val="0"/>
      <w:marBottom w:val="0"/>
      <w:divBdr>
        <w:top w:val="none" w:sz="0" w:space="0" w:color="auto"/>
        <w:left w:val="none" w:sz="0" w:space="0" w:color="auto"/>
        <w:bottom w:val="none" w:sz="0" w:space="0" w:color="auto"/>
        <w:right w:val="none" w:sz="0" w:space="0" w:color="auto"/>
      </w:divBdr>
    </w:div>
    <w:div w:id="1637176390">
      <w:bodyDiv w:val="1"/>
      <w:marLeft w:val="0"/>
      <w:marRight w:val="0"/>
      <w:marTop w:val="0"/>
      <w:marBottom w:val="0"/>
      <w:divBdr>
        <w:top w:val="none" w:sz="0" w:space="0" w:color="auto"/>
        <w:left w:val="none" w:sz="0" w:space="0" w:color="auto"/>
        <w:bottom w:val="none" w:sz="0" w:space="0" w:color="auto"/>
        <w:right w:val="none" w:sz="0" w:space="0" w:color="auto"/>
      </w:divBdr>
    </w:div>
    <w:div w:id="1674914430">
      <w:bodyDiv w:val="1"/>
      <w:marLeft w:val="0"/>
      <w:marRight w:val="0"/>
      <w:marTop w:val="0"/>
      <w:marBottom w:val="0"/>
      <w:divBdr>
        <w:top w:val="none" w:sz="0" w:space="0" w:color="auto"/>
        <w:left w:val="none" w:sz="0" w:space="0" w:color="auto"/>
        <w:bottom w:val="none" w:sz="0" w:space="0" w:color="auto"/>
        <w:right w:val="none" w:sz="0" w:space="0" w:color="auto"/>
      </w:divBdr>
    </w:div>
    <w:div w:id="1685326989">
      <w:bodyDiv w:val="1"/>
      <w:marLeft w:val="0"/>
      <w:marRight w:val="0"/>
      <w:marTop w:val="0"/>
      <w:marBottom w:val="0"/>
      <w:divBdr>
        <w:top w:val="none" w:sz="0" w:space="0" w:color="auto"/>
        <w:left w:val="none" w:sz="0" w:space="0" w:color="auto"/>
        <w:bottom w:val="none" w:sz="0" w:space="0" w:color="auto"/>
        <w:right w:val="none" w:sz="0" w:space="0" w:color="auto"/>
      </w:divBdr>
    </w:div>
    <w:div w:id="1692561876">
      <w:bodyDiv w:val="1"/>
      <w:marLeft w:val="0"/>
      <w:marRight w:val="0"/>
      <w:marTop w:val="0"/>
      <w:marBottom w:val="0"/>
      <w:divBdr>
        <w:top w:val="none" w:sz="0" w:space="0" w:color="auto"/>
        <w:left w:val="none" w:sz="0" w:space="0" w:color="auto"/>
        <w:bottom w:val="none" w:sz="0" w:space="0" w:color="auto"/>
        <w:right w:val="none" w:sz="0" w:space="0" w:color="auto"/>
      </w:divBdr>
    </w:div>
    <w:div w:id="1706178160">
      <w:bodyDiv w:val="1"/>
      <w:marLeft w:val="0"/>
      <w:marRight w:val="0"/>
      <w:marTop w:val="0"/>
      <w:marBottom w:val="0"/>
      <w:divBdr>
        <w:top w:val="none" w:sz="0" w:space="0" w:color="auto"/>
        <w:left w:val="none" w:sz="0" w:space="0" w:color="auto"/>
        <w:bottom w:val="none" w:sz="0" w:space="0" w:color="auto"/>
        <w:right w:val="none" w:sz="0" w:space="0" w:color="auto"/>
      </w:divBdr>
    </w:div>
    <w:div w:id="1710303012">
      <w:bodyDiv w:val="1"/>
      <w:marLeft w:val="0"/>
      <w:marRight w:val="0"/>
      <w:marTop w:val="0"/>
      <w:marBottom w:val="0"/>
      <w:divBdr>
        <w:top w:val="none" w:sz="0" w:space="0" w:color="auto"/>
        <w:left w:val="none" w:sz="0" w:space="0" w:color="auto"/>
        <w:bottom w:val="none" w:sz="0" w:space="0" w:color="auto"/>
        <w:right w:val="none" w:sz="0" w:space="0" w:color="auto"/>
      </w:divBdr>
    </w:div>
    <w:div w:id="1725904033">
      <w:bodyDiv w:val="1"/>
      <w:marLeft w:val="0"/>
      <w:marRight w:val="0"/>
      <w:marTop w:val="0"/>
      <w:marBottom w:val="0"/>
      <w:divBdr>
        <w:top w:val="none" w:sz="0" w:space="0" w:color="auto"/>
        <w:left w:val="none" w:sz="0" w:space="0" w:color="auto"/>
        <w:bottom w:val="none" w:sz="0" w:space="0" w:color="auto"/>
        <w:right w:val="none" w:sz="0" w:space="0" w:color="auto"/>
      </w:divBdr>
    </w:div>
    <w:div w:id="1757828099">
      <w:bodyDiv w:val="1"/>
      <w:marLeft w:val="0"/>
      <w:marRight w:val="0"/>
      <w:marTop w:val="0"/>
      <w:marBottom w:val="0"/>
      <w:divBdr>
        <w:top w:val="none" w:sz="0" w:space="0" w:color="auto"/>
        <w:left w:val="none" w:sz="0" w:space="0" w:color="auto"/>
        <w:bottom w:val="none" w:sz="0" w:space="0" w:color="auto"/>
        <w:right w:val="none" w:sz="0" w:space="0" w:color="auto"/>
      </w:divBdr>
    </w:div>
    <w:div w:id="1797019711">
      <w:bodyDiv w:val="1"/>
      <w:marLeft w:val="0"/>
      <w:marRight w:val="0"/>
      <w:marTop w:val="0"/>
      <w:marBottom w:val="0"/>
      <w:divBdr>
        <w:top w:val="none" w:sz="0" w:space="0" w:color="auto"/>
        <w:left w:val="none" w:sz="0" w:space="0" w:color="auto"/>
        <w:bottom w:val="none" w:sz="0" w:space="0" w:color="auto"/>
        <w:right w:val="none" w:sz="0" w:space="0" w:color="auto"/>
      </w:divBdr>
    </w:div>
    <w:div w:id="1811022585">
      <w:bodyDiv w:val="1"/>
      <w:marLeft w:val="0"/>
      <w:marRight w:val="0"/>
      <w:marTop w:val="0"/>
      <w:marBottom w:val="0"/>
      <w:divBdr>
        <w:top w:val="none" w:sz="0" w:space="0" w:color="auto"/>
        <w:left w:val="none" w:sz="0" w:space="0" w:color="auto"/>
        <w:bottom w:val="none" w:sz="0" w:space="0" w:color="auto"/>
        <w:right w:val="none" w:sz="0" w:space="0" w:color="auto"/>
      </w:divBdr>
    </w:div>
    <w:div w:id="1903444508">
      <w:bodyDiv w:val="1"/>
      <w:marLeft w:val="0"/>
      <w:marRight w:val="0"/>
      <w:marTop w:val="0"/>
      <w:marBottom w:val="0"/>
      <w:divBdr>
        <w:top w:val="none" w:sz="0" w:space="0" w:color="auto"/>
        <w:left w:val="none" w:sz="0" w:space="0" w:color="auto"/>
        <w:bottom w:val="none" w:sz="0" w:space="0" w:color="auto"/>
        <w:right w:val="none" w:sz="0" w:space="0" w:color="auto"/>
      </w:divBdr>
    </w:div>
    <w:div w:id="2029720692">
      <w:bodyDiv w:val="1"/>
      <w:marLeft w:val="0"/>
      <w:marRight w:val="0"/>
      <w:marTop w:val="0"/>
      <w:marBottom w:val="0"/>
      <w:divBdr>
        <w:top w:val="none" w:sz="0" w:space="0" w:color="auto"/>
        <w:left w:val="none" w:sz="0" w:space="0" w:color="auto"/>
        <w:bottom w:val="none" w:sz="0" w:space="0" w:color="auto"/>
        <w:right w:val="none" w:sz="0" w:space="0" w:color="auto"/>
      </w:divBdr>
    </w:div>
    <w:div w:id="2034845931">
      <w:bodyDiv w:val="1"/>
      <w:marLeft w:val="0"/>
      <w:marRight w:val="0"/>
      <w:marTop w:val="0"/>
      <w:marBottom w:val="0"/>
      <w:divBdr>
        <w:top w:val="none" w:sz="0" w:space="0" w:color="auto"/>
        <w:left w:val="none" w:sz="0" w:space="0" w:color="auto"/>
        <w:bottom w:val="none" w:sz="0" w:space="0" w:color="auto"/>
        <w:right w:val="none" w:sz="0" w:space="0" w:color="auto"/>
      </w:divBdr>
    </w:div>
    <w:div w:id="2035112733">
      <w:bodyDiv w:val="1"/>
      <w:marLeft w:val="0"/>
      <w:marRight w:val="0"/>
      <w:marTop w:val="0"/>
      <w:marBottom w:val="0"/>
      <w:divBdr>
        <w:top w:val="none" w:sz="0" w:space="0" w:color="auto"/>
        <w:left w:val="none" w:sz="0" w:space="0" w:color="auto"/>
        <w:bottom w:val="none" w:sz="0" w:space="0" w:color="auto"/>
        <w:right w:val="none" w:sz="0" w:space="0" w:color="auto"/>
      </w:divBdr>
    </w:div>
    <w:div w:id="2054306274">
      <w:bodyDiv w:val="1"/>
      <w:marLeft w:val="0"/>
      <w:marRight w:val="0"/>
      <w:marTop w:val="0"/>
      <w:marBottom w:val="0"/>
      <w:divBdr>
        <w:top w:val="none" w:sz="0" w:space="0" w:color="auto"/>
        <w:left w:val="none" w:sz="0" w:space="0" w:color="auto"/>
        <w:bottom w:val="none" w:sz="0" w:space="0" w:color="auto"/>
        <w:right w:val="none" w:sz="0" w:space="0" w:color="auto"/>
      </w:divBdr>
    </w:div>
    <w:div w:id="2097942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oleObject" Target="file:///\\vodovod-pula.local\Company\Homes\RozanaBS.VODOVOD-PULA\KONTROLING\2024\MJESE&#268;NI%20IZVJE&#352;TAJI\KONTROLING%20OBRASCI_GRAD%20PULA\12_2024\Graf%20operativni%20rezultat%202024.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9.6104695919938504E-2"/>
          <c:y val="3.5277777777778033E-2"/>
          <c:w val="0.89577835504836612"/>
          <c:h val="0.84451467178948592"/>
        </c:manualLayout>
      </c:layout>
      <c:barChart>
        <c:barDir val="col"/>
        <c:grouping val="clustered"/>
        <c:varyColors val="0"/>
        <c:ser>
          <c:idx val="0"/>
          <c:order val="0"/>
          <c:tx>
            <c:strRef>
              <c:f>List1!$B$4</c:f>
              <c:strCache>
                <c:ptCount val="1"/>
                <c:pt idx="0">
                  <c:v>UKUPNI PRIHODI</c:v>
                </c:pt>
              </c:strCache>
            </c:strRef>
          </c:tx>
          <c:spPr>
            <a:solidFill>
              <a:schemeClr val="accent1">
                <a:lumMod val="60000"/>
                <a:lumOff val="40000"/>
              </a:schemeClr>
            </a:solidFill>
            <a:ln>
              <a:solidFill>
                <a:schemeClr val="bg1">
                  <a:lumMod val="95000"/>
                </a:schemeClr>
              </a:solidFill>
            </a:ln>
          </c:spPr>
          <c:invertIfNegative val="0"/>
          <c:cat>
            <c:numRef>
              <c:f>List1!$C$3:$L$3</c:f>
              <c:numCache>
                <c:formatCode>General</c:formatCode>
                <c:ptCount val="10"/>
                <c:pt idx="0">
                  <c:v>2015</c:v>
                </c:pt>
                <c:pt idx="1">
                  <c:v>2016</c:v>
                </c:pt>
                <c:pt idx="2">
                  <c:v>2017</c:v>
                </c:pt>
                <c:pt idx="3">
                  <c:v>2018</c:v>
                </c:pt>
                <c:pt idx="4">
                  <c:v>2019</c:v>
                </c:pt>
                <c:pt idx="5">
                  <c:v>2020</c:v>
                </c:pt>
                <c:pt idx="6">
                  <c:v>2021</c:v>
                </c:pt>
                <c:pt idx="7">
                  <c:v>2022</c:v>
                </c:pt>
                <c:pt idx="8">
                  <c:v>2023</c:v>
                </c:pt>
                <c:pt idx="9">
                  <c:v>2024</c:v>
                </c:pt>
              </c:numCache>
            </c:numRef>
          </c:cat>
          <c:val>
            <c:numRef>
              <c:f>List1!$C$4:$L$4</c:f>
              <c:numCache>
                <c:formatCode>#,##0</c:formatCode>
                <c:ptCount val="10"/>
                <c:pt idx="0">
                  <c:v>8973958</c:v>
                </c:pt>
                <c:pt idx="1">
                  <c:v>9044819</c:v>
                </c:pt>
                <c:pt idx="2">
                  <c:v>9260449</c:v>
                </c:pt>
                <c:pt idx="3">
                  <c:v>10304046</c:v>
                </c:pt>
                <c:pt idx="4">
                  <c:v>10498615</c:v>
                </c:pt>
                <c:pt idx="5">
                  <c:v>10932421</c:v>
                </c:pt>
                <c:pt idx="6">
                  <c:v>10347930</c:v>
                </c:pt>
                <c:pt idx="7">
                  <c:v>12160993</c:v>
                </c:pt>
                <c:pt idx="8">
                  <c:v>15650488</c:v>
                </c:pt>
                <c:pt idx="9">
                  <c:v>18477351</c:v>
                </c:pt>
              </c:numCache>
            </c:numRef>
          </c:val>
          <c:extLst>
            <c:ext xmlns:c16="http://schemas.microsoft.com/office/drawing/2014/chart" uri="{C3380CC4-5D6E-409C-BE32-E72D297353CC}">
              <c16:uniqueId val="{00000000-86F0-4C28-982F-159843EEDE3D}"/>
            </c:ext>
          </c:extLst>
        </c:ser>
        <c:ser>
          <c:idx val="1"/>
          <c:order val="1"/>
          <c:tx>
            <c:strRef>
              <c:f>List1!$B$5</c:f>
              <c:strCache>
                <c:ptCount val="1"/>
                <c:pt idx="0">
                  <c:v>UKUPNI RASHODI</c:v>
                </c:pt>
              </c:strCache>
            </c:strRef>
          </c:tx>
          <c:spPr>
            <a:solidFill>
              <a:schemeClr val="tx2">
                <a:lumMod val="20000"/>
                <a:lumOff val="80000"/>
              </a:schemeClr>
            </a:solidFill>
            <a:ln>
              <a:solidFill>
                <a:schemeClr val="bg1">
                  <a:lumMod val="95000"/>
                </a:schemeClr>
              </a:solidFill>
            </a:ln>
          </c:spPr>
          <c:invertIfNegative val="0"/>
          <c:cat>
            <c:numRef>
              <c:f>List1!$C$3:$L$3</c:f>
              <c:numCache>
                <c:formatCode>General</c:formatCode>
                <c:ptCount val="10"/>
                <c:pt idx="0">
                  <c:v>2015</c:v>
                </c:pt>
                <c:pt idx="1">
                  <c:v>2016</c:v>
                </c:pt>
                <c:pt idx="2">
                  <c:v>2017</c:v>
                </c:pt>
                <c:pt idx="3">
                  <c:v>2018</c:v>
                </c:pt>
                <c:pt idx="4">
                  <c:v>2019</c:v>
                </c:pt>
                <c:pt idx="5">
                  <c:v>2020</c:v>
                </c:pt>
                <c:pt idx="6">
                  <c:v>2021</c:v>
                </c:pt>
                <c:pt idx="7">
                  <c:v>2022</c:v>
                </c:pt>
                <c:pt idx="8">
                  <c:v>2023</c:v>
                </c:pt>
                <c:pt idx="9">
                  <c:v>2024</c:v>
                </c:pt>
              </c:numCache>
            </c:numRef>
          </c:cat>
          <c:val>
            <c:numRef>
              <c:f>List1!$C$5:$L$5</c:f>
              <c:numCache>
                <c:formatCode>#,##0</c:formatCode>
                <c:ptCount val="10"/>
                <c:pt idx="0">
                  <c:v>8924151</c:v>
                </c:pt>
                <c:pt idx="1">
                  <c:v>9020984</c:v>
                </c:pt>
                <c:pt idx="2">
                  <c:v>9251236</c:v>
                </c:pt>
                <c:pt idx="3">
                  <c:v>10254528</c:v>
                </c:pt>
                <c:pt idx="4">
                  <c:v>10415675</c:v>
                </c:pt>
                <c:pt idx="5">
                  <c:v>13985807</c:v>
                </c:pt>
                <c:pt idx="6">
                  <c:v>10284606</c:v>
                </c:pt>
                <c:pt idx="7">
                  <c:v>12111167</c:v>
                </c:pt>
                <c:pt idx="8">
                  <c:v>15591167</c:v>
                </c:pt>
                <c:pt idx="9">
                  <c:v>18472839</c:v>
                </c:pt>
              </c:numCache>
            </c:numRef>
          </c:val>
          <c:extLst>
            <c:ext xmlns:c16="http://schemas.microsoft.com/office/drawing/2014/chart" uri="{C3380CC4-5D6E-409C-BE32-E72D297353CC}">
              <c16:uniqueId val="{00000001-86F0-4C28-982F-159843EEDE3D}"/>
            </c:ext>
          </c:extLst>
        </c:ser>
        <c:dLbls>
          <c:showLegendKey val="0"/>
          <c:showVal val="0"/>
          <c:showCatName val="0"/>
          <c:showSerName val="0"/>
          <c:showPercent val="0"/>
          <c:showBubbleSize val="0"/>
        </c:dLbls>
        <c:gapWidth val="85"/>
        <c:overlap val="-24"/>
        <c:axId val="130099456"/>
        <c:axId val="130109440"/>
      </c:barChart>
      <c:lineChart>
        <c:grouping val="standard"/>
        <c:varyColors val="0"/>
        <c:ser>
          <c:idx val="2"/>
          <c:order val="2"/>
          <c:tx>
            <c:strRef>
              <c:f>List1!$B$6</c:f>
              <c:strCache>
                <c:ptCount val="1"/>
                <c:pt idx="0">
                  <c:v>OPERATIVNI REZULTAT*</c:v>
                </c:pt>
              </c:strCache>
            </c:strRef>
          </c:tx>
          <c:spPr>
            <a:ln w="12700">
              <a:solidFill>
                <a:schemeClr val="tx2">
                  <a:lumMod val="50000"/>
                </a:schemeClr>
              </a:solidFill>
            </a:ln>
          </c:spPr>
          <c:marker>
            <c:spPr>
              <a:solidFill>
                <a:schemeClr val="tx2">
                  <a:lumMod val="50000"/>
                </a:schemeClr>
              </a:solidFill>
              <a:ln w="12700">
                <a:solidFill>
                  <a:schemeClr val="tx2">
                    <a:lumMod val="50000"/>
                  </a:schemeClr>
                </a:solidFill>
              </a:ln>
            </c:spPr>
          </c:marker>
          <c:dLbls>
            <c:numFmt formatCode="#,##0\ [$€-462]" sourceLinked="0"/>
            <c:spPr>
              <a:solidFill>
                <a:schemeClr val="bg1">
                  <a:alpha val="63000"/>
                </a:schemeClr>
              </a:solidFill>
              <a:ln>
                <a:noFill/>
              </a:ln>
              <a:effectLst/>
            </c:spPr>
            <c:dLblPos val="t"/>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numRef>
              <c:f>List1!$C$3:$L$3</c:f>
              <c:numCache>
                <c:formatCode>General</c:formatCode>
                <c:ptCount val="10"/>
                <c:pt idx="0">
                  <c:v>2015</c:v>
                </c:pt>
                <c:pt idx="1">
                  <c:v>2016</c:v>
                </c:pt>
                <c:pt idx="2">
                  <c:v>2017</c:v>
                </c:pt>
                <c:pt idx="3">
                  <c:v>2018</c:v>
                </c:pt>
                <c:pt idx="4">
                  <c:v>2019</c:v>
                </c:pt>
                <c:pt idx="5">
                  <c:v>2020</c:v>
                </c:pt>
                <c:pt idx="6">
                  <c:v>2021</c:v>
                </c:pt>
                <c:pt idx="7">
                  <c:v>2022</c:v>
                </c:pt>
                <c:pt idx="8">
                  <c:v>2023</c:v>
                </c:pt>
                <c:pt idx="9">
                  <c:v>2024</c:v>
                </c:pt>
              </c:numCache>
            </c:numRef>
          </c:cat>
          <c:val>
            <c:numRef>
              <c:f>List1!$C$6:$L$6</c:f>
              <c:numCache>
                <c:formatCode>#,##0</c:formatCode>
                <c:ptCount val="10"/>
                <c:pt idx="0">
                  <c:v>-61318</c:v>
                </c:pt>
                <c:pt idx="1">
                  <c:v>-190406</c:v>
                </c:pt>
                <c:pt idx="2">
                  <c:v>196567</c:v>
                </c:pt>
                <c:pt idx="3">
                  <c:v>451341</c:v>
                </c:pt>
                <c:pt idx="4">
                  <c:v>442839</c:v>
                </c:pt>
                <c:pt idx="5">
                  <c:v>75064</c:v>
                </c:pt>
                <c:pt idx="6">
                  <c:v>23491</c:v>
                </c:pt>
                <c:pt idx="7">
                  <c:v>23348</c:v>
                </c:pt>
                <c:pt idx="8">
                  <c:v>-292110</c:v>
                </c:pt>
                <c:pt idx="9">
                  <c:v>-778101</c:v>
                </c:pt>
              </c:numCache>
            </c:numRef>
          </c:val>
          <c:smooth val="0"/>
          <c:extLst>
            <c:ext xmlns:c16="http://schemas.microsoft.com/office/drawing/2014/chart" uri="{C3380CC4-5D6E-409C-BE32-E72D297353CC}">
              <c16:uniqueId val="{00000002-86F0-4C28-982F-159843EEDE3D}"/>
            </c:ext>
          </c:extLst>
        </c:ser>
        <c:dLbls>
          <c:showLegendKey val="0"/>
          <c:showVal val="0"/>
          <c:showCatName val="0"/>
          <c:showSerName val="0"/>
          <c:showPercent val="0"/>
          <c:showBubbleSize val="0"/>
        </c:dLbls>
        <c:marker val="1"/>
        <c:smooth val="0"/>
        <c:axId val="130099456"/>
        <c:axId val="130109440"/>
      </c:lineChart>
      <c:catAx>
        <c:axId val="130099456"/>
        <c:scaling>
          <c:orientation val="minMax"/>
        </c:scaling>
        <c:delete val="0"/>
        <c:axPos val="b"/>
        <c:numFmt formatCode="General" sourceLinked="1"/>
        <c:majorTickMark val="out"/>
        <c:minorTickMark val="none"/>
        <c:tickLblPos val="nextTo"/>
        <c:crossAx val="130109440"/>
        <c:crosses val="autoZero"/>
        <c:auto val="1"/>
        <c:lblAlgn val="ctr"/>
        <c:lblOffset val="100"/>
        <c:noMultiLvlLbl val="0"/>
      </c:catAx>
      <c:valAx>
        <c:axId val="130109440"/>
        <c:scaling>
          <c:orientation val="minMax"/>
        </c:scaling>
        <c:delete val="0"/>
        <c:axPos val="l"/>
        <c:majorGridlines>
          <c:spPr>
            <a:ln>
              <a:solidFill>
                <a:schemeClr val="bg1">
                  <a:lumMod val="95000"/>
                </a:schemeClr>
              </a:solidFill>
            </a:ln>
          </c:spPr>
        </c:majorGridlines>
        <c:numFmt formatCode="#,##0" sourceLinked="1"/>
        <c:majorTickMark val="out"/>
        <c:minorTickMark val="none"/>
        <c:tickLblPos val="nextTo"/>
        <c:crossAx val="130099456"/>
        <c:crosses val="autoZero"/>
        <c:crossBetween val="between"/>
      </c:valAx>
    </c:plotArea>
    <c:legend>
      <c:legendPos val="b"/>
      <c:layout>
        <c:manualLayout>
          <c:xMode val="edge"/>
          <c:yMode val="edge"/>
          <c:x val="0.17564488466719438"/>
          <c:y val="0.89314150298406025"/>
          <c:w val="0.66884747045508208"/>
          <c:h val="4.3804663851102439E-2"/>
        </c:manualLayout>
      </c:layout>
      <c:overlay val="0"/>
    </c:legend>
    <c:plotVisOnly val="1"/>
    <c:dispBlanksAs val="gap"/>
    <c:showDLblsOverMax val="0"/>
  </c:chart>
  <c:spPr>
    <a:ln>
      <a:noFill/>
    </a:ln>
  </c:spPr>
  <c:txPr>
    <a:bodyPr/>
    <a:lstStyle/>
    <a:p>
      <a:pPr>
        <a:defRPr sz="700">
          <a:latin typeface="Cambria" panose="02040503050406030204" pitchFamily="18" charset="0"/>
          <a:ea typeface="Cambria" panose="02040503050406030204" pitchFamily="18" charset="0"/>
        </a:defRPr>
      </a:pPr>
      <a:endParaRPr lang="sr-Latn-CS"/>
    </a:p>
  </c:txPr>
  <c:externalData r:id="rId1">
    <c:autoUpdate val="0"/>
  </c:externalData>
</c:chartSpace>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F89AE0-02C1-42F8-92E1-810741960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241</TotalTime>
  <Pages>40</Pages>
  <Words>10882</Words>
  <Characters>68926</Characters>
  <Application>Microsoft Office Word</Application>
  <DocSecurity>0</DocSecurity>
  <Lines>574</Lines>
  <Paragraphs>159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Izvještaj o poslovanju u 2010.godini</vt:lpstr>
      <vt:lpstr>Izvještaj o poslovanju u 2010.godini</vt:lpstr>
    </vt:vector>
  </TitlesOfParts>
  <Company>Vodovod</Company>
  <LinksUpToDate>false</LinksUpToDate>
  <CharactersWithSpaces>79649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Izvještaj o poslovanju u 2010.godini</dc:title>
  <dc:creator>GordanaPl</dc:creator>
  <cp:lastModifiedBy>Rozana Banković Stupar</cp:lastModifiedBy>
  <cp:revision>13</cp:revision>
  <cp:lastPrinted>2025-05-08T06:09:00Z</cp:lastPrinted>
  <dcterms:created xsi:type="dcterms:W3CDTF">2025-05-07T04:47:00Z</dcterms:created>
  <dcterms:modified xsi:type="dcterms:W3CDTF">2025-05-08T07:43:00Z</dcterms:modified>
  <cp:category>ZR 2010.G.</cp:category>
</cp:coreProperties>
</file>